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746258.xml.htm"/>
      <w:bookmarkStart w:id="1" w:name="kswkform3_178774625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Levy Caroline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703-706, K11 ATELIER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728 KINGS ROAD, QUARRY BAY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Prenetics Global Ltd</w:t>
              </w:r>
            </w:hyperlink>
            <w:r>
              <w:rPr/>
              <w:t xml:space="preserve"> [ </w:t>
            </w:r>
            <w:r>
              <w:rPr>
                <w:rFonts w:ascii="Times;serif" w:hAnsi="Times;serif"/>
                <w:color w:val="0000FF"/>
                <w:sz w:val="24"/>
                <w:shd w:fill="FFFFFF" w:val="clear"/>
              </w:rPr>
              <w:t>PRE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08/17/2033</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 par value $0.0015 per share</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7,595</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granted under the Issuer's 2022 Share Incentive Plan, represents a contingent right to receive one Class A Ordinary Share. 7,595 RSUs vest on August 17, 2027, subject to continued service. Upon vesting, the RSUs are settled and delivered in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Hoi Chun Lo, as attorney-in-fact for Caroline Shan Levy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levy.htm"/>
      <w:bookmarkStart w:id="3" w:name="kssection16poalev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SECTION 16 POWER OF ATTORNEY With respect to holdings of and transactions in securities issued by Prenetics Global Limited (the "Company"), the undersigned hereby constitutes and appoints the chief executive officer of the Company, who is currently Danny Sheng Wu Yeung, and the chief financial officer of the Company, who is currently Stephen Hoi Chun Lo, and their respcctive successors,as may be amendcd from time to time, signing singly. with full power of substitutionand resubstitution, to act as theundersigned's trueand lawful attorneys-infact to: 1. execute for and on behalf of the undersigned, Forms 3, 4, and 5 (including amendments thereto) in accordance with Section 16 of the Securities Exchange Act of 1934, as amended (the “Exchange Acf"), and the rules thereunder, and do and perform any and all acts for and on behaif ofthe undersigned which may be necessary or desirable to complete and execute any such Foms 3, 4 or 5, complete and execute any amendment or amendments thereto, and timely file such forms (including amendments thereto) with the United States Securities and Exchange Commission and any stock exchange 2 or similar authority. The undersigned hereby grants to cach such attormey-in-fact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bereby ratifying and confiming all that suchattormey-in-fact, or substitute or substiutes, shall lawfully do or cause to bedorneby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16of the ExchangeAct. This Power of Attomey shall remain in full force and effect until the undersigned is no longer required to file any Forrns 3, 4 and 5 with respect to the undersigned's holdings of and transactions in securities issued by the Company, uniesseartier (a} revoked by theundersigned in a signed writing delivered to the foregoing attomey-in-fact or (b) supersededby a new power of attorney regarding thepurposes outlined in the first paragraph hereof dated as of a later date. [Signaturepage follows] IN WITNESS WEEREOF, the undersigncdhas causcdthis Power of Attorney to be executedas of 2 dayofAugust,2026. CAROLINELEVY this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0042" TargetMode="External"/><Relationship Id="rId3" Type="http://schemas.openxmlformats.org/officeDocument/2006/relationships/hyperlink" Target="http://www.sec.gov/cgi-bin/browse-edgar?action=getcompany&amp;CIK=000187643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883</Words>
  <Characters>4790</Characters>
  <CharactersWithSpaces>5623</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section16poalevy</dc:title>
</cp:coreProperties>
</file>