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8677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8677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85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Cheng Yin Pan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10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Prenetics Global Ltd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PRE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UNIT 703-706, K11 ATELIER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728 KINGS ROAD, QUARRY BAY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HONG KONG   K3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9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M13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Share,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6,406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6,406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22,279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5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$0.0015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Limited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21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Cheng Yin Pan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UNIT 703-706, K11 ATELIER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728 KINGS ROAD, QUARRY BAY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HONG KONG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 w:line="21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5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M13 Capital Management Holdings Ltd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-4726305</wp:posOffset>
            </wp:positionV>
            <wp:extent cx="29210" cy="2369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PORTCULLIS CHAMBERS, ELLEN SKELTON BLDG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3076 SIR FRANCIS DRAKE HIGHWAY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ROAD TOWN,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TORTOLA,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D8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VG1110</w:t>
      </w:r>
    </w:p>
    <w:p>
      <w:pPr>
        <w:sectPr>
          <w:pgSz w:w="11900" w:h="16885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500" w:val="left"/>
          <w:tab w:leader="none" w:pos="2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ectPr>
          <w:pgSz w:w="11900" w:h="16885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2812415" cy="698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415" cy="6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firstLine="2"/>
        <w:spacing w:after="0" w:line="242" w:lineRule="auto"/>
        <w:tabs>
          <w:tab w:leader="none" w:pos="12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of the 6,406 Restricted Stock Units ("RSUs"), granted under the Issuer's 2022 Share Incentive Plan, represents the contingent right to receive one Class A Ordinary Share. The RSUs vest in accordance with the following schedule, subject to continued service: May 17, 2027: 6,406 (6,406 Class A Ordinary Shares). M13 Capital Management Holdings Limited's vested RSUs are not automatically settled upon vesting. Settlement and delivery of Class A Ordinary Shares in respect of vested RSUs occurs at Cheng Yin Pan's election, in accordance with the Issuer's insider trading policy.</w:t>
      </w:r>
    </w:p>
    <w:p>
      <w:pPr>
        <w:sectPr>
          <w:pgSz w:w="11900" w:h="16838" w:orient="portrait"/>
          <w:cols w:equalWidth="0" w:num="1">
            <w:col w:w="10760"/>
          </w:cols>
          <w:pgMar w:left="500" w:top="256" w:right="639" w:bottom="1440" w:gutter="0" w:footer="0" w:header="0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M13 Capital Management Holdings Limited is a British Virgin Islands company wholly owned by Cheng Yin Pan.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Stephen Hoi Chun Lo,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-8890</wp:posOffset>
            </wp:positionV>
            <wp:extent cx="1202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attorney-in-fact for Cheng Yin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-8890</wp:posOffset>
            </wp:positionV>
            <wp:extent cx="12992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-15875</wp:posOffset>
            </wp:positionV>
            <wp:extent cx="1600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Stephen Hoi Chun Lo,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-8890</wp:posOffset>
            </wp:positionV>
            <wp:extent cx="120205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-15875</wp:posOffset>
            </wp:positionV>
            <wp:extent cx="104140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Capital Management Holdings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-8890</wp:posOffset>
            </wp:positionV>
            <wp:extent cx="1308100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Limited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-15875</wp:posOffset>
            </wp:positionV>
            <wp:extent cx="337185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40"/>
            <w:col w:w="2000"/>
          </w:cols>
          <w:pgMar w:left="500" w:top="256" w:right="6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300" w:firstLine="2"/>
        <w:spacing w:after="0" w:line="336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60"/>
      </w:cols>
      <w:pgMar w:left="500" w:top="256" w:right="6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Relationship Id="rId23" Type="http://schemas.openxmlformats.org/officeDocument/2006/relationships/image" Target="media/image13.png"/><Relationship Id="rId24" Type="http://schemas.openxmlformats.org/officeDocument/2006/relationships/image" Target="media/image14.png"/><Relationship Id="rId25" Type="http://schemas.openxmlformats.org/officeDocument/2006/relationships/image" Target="media/image15.png"/><Relationship Id="rId26" Type="http://schemas.openxmlformats.org/officeDocument/2006/relationships/image" Target="media/image16.png"/><Relationship Id="rId13" Type="http://schemas.openxmlformats.org/officeDocument/2006/relationships/hyperlink" Target="http://www.sec.gov/cgi-bin/browse-edgar?action=getcompany&amp;CIK=0001844918" TargetMode="External"/><Relationship Id="rId14" Type="http://schemas.openxmlformats.org/officeDocument/2006/relationships/hyperlink" Target="http://www.sec.gov/cgi-bin/browse-edgar?action=getcompany&amp;CIK=0001876431" TargetMode="External"/><Relationship Id="rId15" Type="http://schemas.openxmlformats.org/officeDocument/2006/relationships/hyperlink" Target="http://www.sec.gov/cgi-bin/browse-edgar?action=getcompany&amp;CIK=00021179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2026-05-28T09:41:24Z</dcterms:created>
  <dcterms:modified xsi:type="dcterms:W3CDTF">2026-05-28T09:41:24Z</dcterms:modified>
</cp:coreProperties>
</file>