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For the month of October 2024</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1780" w:type="dxa"/>
            <w:vAlign w:val="bottom"/>
          </w:tcPr>
          <w:p>
            <w:pPr>
              <w:spacing w:after="0"/>
              <w:rPr>
                <w:sz w:val="24"/>
                <w:szCs w:val="24"/>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32"/>
                <w:szCs w:val="32"/>
                <w:b w:val="1"/>
                <w:bCs w:val="1"/>
                <w:color w:val="auto"/>
              </w:rPr>
              <w:t>Prenetics Global Limited</w:t>
            </w:r>
          </w:p>
        </w:tc>
        <w:tc>
          <w:tcPr>
            <w:tcW w:w="0" w:type="dxa"/>
            <w:vAlign w:val="bottom"/>
          </w:tcPr>
          <w:p>
            <w:pPr>
              <w:spacing w:after="0"/>
              <w:rPr>
                <w:sz w:val="1"/>
                <w:szCs w:val="1"/>
                <w:color w:val="auto"/>
              </w:rPr>
            </w:pPr>
          </w:p>
        </w:tc>
      </w:tr>
      <w:tr>
        <w:trPr>
          <w:trHeight w:val="192"/>
        </w:trPr>
        <w:tc>
          <w:tcPr>
            <w:tcW w:w="178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11401 Granite St.</w:t>
            </w:r>
          </w:p>
        </w:tc>
        <w:tc>
          <w:tcPr>
            <w:tcW w:w="8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26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Unit 703-706, K11 Atelier</w:t>
            </w:r>
          </w:p>
        </w:tc>
        <w:tc>
          <w:tcPr>
            <w:tcW w:w="0" w:type="dxa"/>
            <w:vAlign w:val="bottom"/>
          </w:tcPr>
          <w:p>
            <w:pPr>
              <w:spacing w:after="0"/>
              <w:rPr>
                <w:sz w:val="1"/>
                <w:szCs w:val="1"/>
                <w:color w:val="auto"/>
              </w:rPr>
            </w:pPr>
          </w:p>
        </w:tc>
      </w:tr>
      <w:tr>
        <w:trPr>
          <w:trHeight w:val="486"/>
        </w:trPr>
        <w:tc>
          <w:tcPr>
            <w:tcW w:w="1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ind w:right="195"/>
              <w:spacing w:after="0" w:line="176" w:lineRule="exact"/>
              <w:rPr>
                <w:sz w:val="20"/>
                <w:szCs w:val="20"/>
                <w:color w:val="auto"/>
              </w:rPr>
            </w:pPr>
            <w:r>
              <w:rPr>
                <w:rFonts w:ascii="Times New Roman" w:cs="Times New Roman" w:eastAsia="Times New Roman" w:hAnsi="Times New Roman"/>
                <w:sz w:val="17"/>
                <w:szCs w:val="17"/>
                <w:b w:val="1"/>
                <w:bCs w:val="1"/>
                <w:color w:val="auto"/>
              </w:rPr>
              <w:t>Charlotte, NC 28273</w:t>
            </w:r>
          </w:p>
        </w:tc>
        <w:tc>
          <w:tcPr>
            <w:tcW w:w="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60" w:type="dxa"/>
            <w:vAlign w:val="bottom"/>
          </w:tcPr>
          <w:p>
            <w:pPr>
              <w:jc w:val="center"/>
              <w:ind w:left="870"/>
              <w:spacing w:after="0" w:line="176" w:lineRule="exact"/>
              <w:rPr>
                <w:sz w:val="20"/>
                <w:szCs w:val="20"/>
                <w:color w:val="auto"/>
              </w:rPr>
            </w:pPr>
            <w:r>
              <w:rPr>
                <w:rFonts w:ascii="Times New Roman" w:cs="Times New Roman" w:eastAsia="Times New Roman" w:hAnsi="Times New Roman"/>
                <w:sz w:val="18"/>
                <w:szCs w:val="18"/>
                <w:b w:val="1"/>
                <w:bCs w:val="1"/>
                <w:color w:val="auto"/>
              </w:rPr>
              <w:t>728 King’s Road, Quarry Bay</w:t>
            </w:r>
          </w:p>
        </w:tc>
        <w:tc>
          <w:tcPr>
            <w:tcW w:w="0" w:type="dxa"/>
            <w:vAlign w:val="bottom"/>
          </w:tcPr>
          <w:p>
            <w:pPr>
              <w:spacing w:after="0"/>
              <w:rPr>
                <w:sz w:val="1"/>
                <w:szCs w:val="1"/>
                <w:color w:val="auto"/>
              </w:rPr>
            </w:pPr>
          </w:p>
        </w:tc>
      </w:tr>
      <w:tr>
        <w:trPr>
          <w:trHeight w:val="238"/>
        </w:trPr>
        <w:tc>
          <w:tcPr>
            <w:tcW w:w="17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USA</w:t>
            </w:r>
          </w:p>
        </w:tc>
        <w:tc>
          <w:tcPr>
            <w:tcW w:w="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0" w:type="dxa"/>
            <w:vAlign w:val="bottom"/>
          </w:tcPr>
          <w:p>
            <w:pPr>
              <w:spacing w:after="0"/>
              <w:rPr>
                <w:sz w:val="1"/>
                <w:szCs w:val="1"/>
                <w:color w:val="auto"/>
              </w:rPr>
            </w:pPr>
          </w:p>
        </w:tc>
      </w:tr>
      <w:tr>
        <w:trPr>
          <w:trHeight w:val="531"/>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(Addresses of principal executive offices)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This Report on Form 6-K (this “Report”), shall be deemed to be incorporated by reference into the registration statements on Form F-3 (File nos. 333-274762 and 333-276538) and Form S-8 (File Nos. 333-279019, 333-271552 and 333-267956) of Prenetics Global Limited (the "Company") (including any prospectuses forming a part of such registration statements) and to be a part thereof from the date on which this Report is furnished, to the extent not superseded by documents or reports subsequently filed or furnished.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DISCLOSURE OF RESULTS OF OPERATIONS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hereby furnishes the press release announcing its unaudited financial results for the second quarter ended June 30, 2024, which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2"/>
          </w:tcPr>
          <w:p>
            <w:pPr>
              <w:ind w:left="3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 Prenetics Announces Second Quarter 2024 Financial Results</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ectPr>
          <w:pgSz w:w="11900" w:h="16838" w:orient="portrait"/>
          <w:cols w:equalWidth="0" w:num="1">
            <w:col w:w="11220"/>
          </w:cols>
          <w:pgMar w:left="320" w:top="139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9377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776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Announces Second Quarter 2024 Financial Results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Cost Optimization Boosted Gross Margin by 21.7% YoY in H1 2024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Enters U.S. Health Market in October with IM8, a New Health and Wellness brand</w:t>
      </w:r>
    </w:p>
    <w:p>
      <w:pPr>
        <w:jc w:val="center"/>
        <w:spacing w:after="0"/>
        <w:rPr>
          <w:sz w:val="20"/>
          <w:szCs w:val="20"/>
          <w:color w:val="auto"/>
        </w:rPr>
      </w:pPr>
      <w:r>
        <w:rPr>
          <w:rFonts w:ascii="Times New Roman" w:cs="Times New Roman" w:eastAsia="Times New Roman" w:hAnsi="Times New Roman"/>
          <w:sz w:val="18"/>
          <w:szCs w:val="18"/>
          <w:i w:val="1"/>
          <w:iCs w:val="1"/>
          <w:color w:val="auto"/>
        </w:rPr>
        <w:t>Re-affirms Revenue Target to Exceed US$33 million for FY 2024</w:t>
      </w:r>
    </w:p>
    <w:p>
      <w:pPr>
        <w:spacing w:after="0" w:line="32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CHARLOTTE, N.C., October 7, 2024 – </w:t>
      </w:r>
      <w:r>
        <w:rPr>
          <w:rFonts w:ascii="Times New Roman" w:cs="Times New Roman" w:eastAsia="Times New Roman" w:hAnsi="Times New Roman"/>
          <w:sz w:val="18"/>
          <w:szCs w:val="18"/>
          <w:color w:val="auto"/>
        </w:rPr>
        <w:t>Prenetics Global Limited (NASDAQ: PRE) (“Prenetics” or the “Company”), a leading health sciences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unaudited financial results for the second quarter ended June 30, 2024, along with recent business updates.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6" w:lineRule="exact"/>
        <w:rPr>
          <w:sz w:val="20"/>
          <w:szCs w:val="20"/>
          <w:color w:val="auto"/>
        </w:rPr>
      </w:pP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US$5.9 million, as compared to US$6.5 million in the second quarter 2023 attributable to clinical segment revenues, which are anticipated in the latter half of the year.</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US$3.8 million, an increase of 23.6% as compared to the second quarter 2023.</w:t>
      </w:r>
    </w:p>
    <w:p>
      <w:pPr>
        <w:ind w:left="660" w:hanging="328"/>
        <w:spacing w:after="0" w:line="23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continuing operations increased to 63.4% from 46.8% in the second quarter 2023 driven by operational efficiencies, better pricing strategies, and cost optimization measures.</w:t>
      </w:r>
    </w:p>
    <w:p>
      <w:pPr>
        <w:spacing w:after="0" w:line="1" w:lineRule="exact"/>
        <w:rPr>
          <w:rFonts w:ascii="Times New Roman" w:cs="Times New Roman" w:eastAsia="Times New Roman" w:hAnsi="Times New Roman"/>
          <w:sz w:val="18"/>
          <w:szCs w:val="18"/>
          <w:color w:val="auto"/>
        </w:rPr>
      </w:pPr>
    </w:p>
    <w:p>
      <w:pPr>
        <w:ind w:left="660" w:hanging="328"/>
        <w:spacing w:after="0" w:line="18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loss from continuing operations of US$5.5 million, an improvement of 24.9% as compared to the second quarter 2023.</w:t>
      </w:r>
    </w:p>
    <w:p>
      <w:pPr>
        <w:ind w:left="660" w:hanging="328"/>
        <w:spacing w:after="0" w:line="18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other short-term assets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US$78.7 million and debt-free as of June 30, 2024.</w:t>
      </w:r>
    </w:p>
    <w:p>
      <w:pPr>
        <w:ind w:left="660" w:right="20" w:hanging="328"/>
        <w:spacing w:after="0" w:line="21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our early cancer detection joint venture with Professor Dennis Lo, had a cash balance of US$80.5 million on its balance sheet and debt-free as of June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2024 Financial Highlights</w:t>
      </w:r>
    </w:p>
    <w:p>
      <w:pPr>
        <w:spacing w:after="0" w:line="1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continuing operations of US$12.4 million, an increase of 8.0% as compared to the first half 2023.</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US$7.6 million, expanded by 67.6% as compared to the first half 2023.</w:t>
      </w:r>
    </w:p>
    <w:p>
      <w:pPr>
        <w:ind w:left="660" w:hanging="328"/>
        <w:spacing w:after="0" w:line="21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continuing operations of 61.1%, up from 39.4% in the first half 2023.</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from continuing operations of US$9.6 million, an improvement of 42.3% as compared to the first half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and Subsequent Operational Updates</w:t>
      </w:r>
    </w:p>
    <w:p>
      <w:pPr>
        <w:spacing w:after="0" w:line="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IM8 is fully prepared for a successful launch in October, with all marketing and operational plans in place.</w:t>
      </w: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Europa Sports establishing IM8’s diverse distribution capabilities to include a brick-and-mortar network and a 3PL logistics platform.</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CircleDNA and ACT Genomics are on track to achieve business-unit breakeven by the second half of 2025.</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Insighta commenced a 1,500 person clinical trial for early Liver cancer detection.</w:t>
      </w:r>
    </w:p>
    <w:p>
      <w:pPr>
        <w:ind w:left="660" w:right="2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Insighta has begun leveraging AI technologies in early cancer detection research and development efforts with considerable progress and results to be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4" w:lineRule="auto"/>
        <w:tabs>
          <w:tab w:leader="none" w:pos="1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EBITDA is defined as loss from operations excluding (1) employee equity-settled share-based payment expenses, (2) depreciation and amortization, (3) amortization of deferred expenses, (4) acquisition and transaction-related costs, (5) strategic realignment and discontinued products impact, and (6) finance income and exchange gain or loss, net. These adjustments are made for items that may not be indicative of our business performance, including non-cash and/or non-recurring items.</w:t>
      </w:r>
    </w:p>
    <w:p>
      <w:pPr>
        <w:spacing w:after="0" w:line="2" w:lineRule="exact"/>
        <w:rPr>
          <w:rFonts w:ascii="Times New Roman" w:cs="Times New Roman" w:eastAsia="Times New Roman" w:hAnsi="Times New Roman"/>
          <w:sz w:val="19"/>
          <w:szCs w:val="19"/>
          <w:color w:val="auto"/>
          <w:vertAlign w:val="superscript"/>
        </w:rPr>
      </w:pPr>
    </w:p>
    <w:p>
      <w:pPr>
        <w:spacing w:after="0" w:line="24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Represents current assets, including cash and cash equivalents totaling US$41.2 million, financial assets at fair value through profit or loss of US$10.9 million, and trade receivables of US$4.1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million, amongst other accounting line items under current assets as of June 30, 2024.</w:t>
      </w:r>
    </w:p>
    <w:p>
      <w:pPr>
        <w:spacing w:after="0" w:line="25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As of June 30, 2024, we owned 50% shareholding in Insighta, which was accounted for under equity-accounted investee. Equity-accounted investees, totaling US$97.9 million as of June 30,</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2024, were classified as non-current assets on our balance sheet.</w:t>
      </w:r>
    </w:p>
    <w:p>
      <w:pPr>
        <w:sectPr>
          <w:pgSz w:w="11900" w:h="16838" w:orient="portrait"/>
          <w:cols w:equalWidth="0" w:num="1">
            <w:col w:w="11240"/>
          </w:cols>
          <w:pgMar w:left="320" w:top="13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Danny Yeung, Chief Executive Officer and Co-Founder, remarked: “We continue to make progress in our strategic initiatives, achieving key milestones, in both our consumer and clinical health divisions. During the second quarter, we remained committed to structuring our business for operational efficiency. This can be recognized by improvements in key metrics as drivers of operating leverage, and highlighted by a 23.6% improvement in gross profit as we narrowed our adjusted EBITDA loss by 24.9% from the prior year.</w:t>
      </w:r>
    </w:p>
    <w:p>
      <w:pPr>
        <w:spacing w:after="0" w:line="212"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We are excited about the future as we prepare for the highly anticipated U.S. launch of IM8, our health and wellness brand. Our recent Europa acquisition provides a strong foundation and extensive global distribution network as a tailwind for IM8 to make a meaningful impact in the health and wellness market. We remain fully committed to driving growth and innovation while focusing on long-term value creation for our shareholders.”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Prenetics (NASDAQ:PRE), a leading health sciences company, is dedicated to advancing consumer and clinical health. Our consumer initiative is led by IM8, a new health and wellness brand and Europa, one of the largest sports distribution companies in the USA. Our clinical division is led by Insighta, our US$200 million joint venture with renowned scientist Prof. Dennis Lo, focused on multi-cancer early detection technologies. This is followed by ACT Genomics, which has achieved FDA clearance for comprehensive genomic profiling of solid tumors, and CircleDNA, which uses NGS to offer comprehensive DNA tests. Each of Prenetics’ units synergistically enhances our global impact on health, embodying our commitment to ‘enhancing life through science’. To learn more about Prenetics, please visit </w:t>
      </w:r>
      <w:r>
        <w:rPr>
          <w:rFonts w:ascii="Times New Roman" w:cs="Times New Roman" w:eastAsia="Times New Roman" w:hAnsi="Times New Roman"/>
          <w:sz w:val="18"/>
          <w:szCs w:val="18"/>
          <w:color w:val="0000FF"/>
        </w:rPr>
        <w:t>www.prenetics.com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investors@prenetics.com</w:t>
      </w:r>
    </w:p>
    <w:p>
      <w:pPr>
        <w:spacing w:after="0"/>
        <w:rPr>
          <w:sz w:val="20"/>
          <w:szCs w:val="20"/>
          <w:color w:val="auto"/>
        </w:rPr>
      </w:pPr>
      <w:r>
        <w:rPr>
          <w:rFonts w:ascii="Times New Roman" w:cs="Times New Roman" w:eastAsia="Times New Roman" w:hAnsi="Times New Roman"/>
          <w:sz w:val="18"/>
          <w:szCs w:val="18"/>
          <w:color w:val="0000FF"/>
        </w:rPr>
        <w:t>PRE@mzgroup.us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Cheung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Corporate Finance</w:t>
      </w:r>
    </w:p>
    <w:p>
      <w:pPr>
        <w:spacing w:after="0" w:line="234" w:lineRule="auto"/>
        <w:rPr>
          <w:sz w:val="20"/>
          <w:szCs w:val="20"/>
          <w:color w:val="auto"/>
        </w:rPr>
      </w:pPr>
      <w:r>
        <w:rPr>
          <w:rFonts w:ascii="Times New Roman" w:cs="Times New Roman" w:eastAsia="Times New Roman" w:hAnsi="Times New Roman"/>
          <w:sz w:val="18"/>
          <w:szCs w:val="18"/>
          <w:color w:val="auto"/>
        </w:rPr>
        <w:t>Prenetics Global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angela.hm.cheung@prenetics.com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Unaudited Non-IFRS Financial Measures has been provided in the financial statements tables included at the end of this press release. An explanation of these measures is also included below under the heading “Unaudited Non-IFRS Financial Measures”.</w:t>
      </w:r>
    </w:p>
    <w:p>
      <w:pPr>
        <w:sectPr>
          <w:pgSz w:w="11900" w:h="16838" w:orient="portrait"/>
          <w:cols w:equalWidth="0" w:num="1">
            <w:col w:w="11240"/>
          </w:cols>
          <w:pgMar w:left="320" w:top="14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measures, adjusted EBITDA loss from continuing operations.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Management is excluding from some or all of its non-IFRS results (1) Employee equity-settled share-based payment expenses, (2) depreciation and amortization, (3) Amortization of deferred expenses, (4) Acquisition and transaction-related costs, (5) Strategic realignment and discontinued products impact, and (6) finance income and exchange gain or loss, net —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loss from continuing operations (Non-IFRS)” set forth at the end of this document.</w:t>
      </w:r>
    </w:p>
    <w:p>
      <w:pPr>
        <w:sectPr>
          <w:pgSz w:w="11900" w:h="16838" w:orient="portrait"/>
          <w:cols w:equalWidth="0" w:num="1">
            <w:col w:w="11240"/>
          </w:cols>
          <w:pgMar w:left="320" w:top="14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4,745,228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4,585,957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5,777,794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12,455,997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13,169,672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13,424,648</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97,875,233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98,244,733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98,464,875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4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1,483,348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3,530,756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948,811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743,173</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154,613,797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157,001,338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160,510,113</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7,710,439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8,272,025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8,312,890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2,878,258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2,815,607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3,126,776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4,086,030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4,106,052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4,058,007</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11,797,508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5,708,610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5,284,848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due from an equity-accounted investee</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11,034,200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deposits</w:t>
            </w:r>
          </w:p>
        </w:tc>
        <w:tc>
          <w:tcPr>
            <w:tcW w:w="4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41,204,165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54,518,588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45,706,448</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78,693,021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86,583,815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93,660,406</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233,306,818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243,585,153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2,238,336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2,327,331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2,614,823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1,181,457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867,215</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286,047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823,345</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4,016,992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3,604,183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4,529,233</w:t>
            </w:r>
          </w:p>
        </w:tc>
        <w:tc>
          <w:tcPr>
            <w:tcW w:w="0" w:type="dxa"/>
            <w:vAlign w:val="bottom"/>
          </w:tcPr>
          <w:p>
            <w:pPr>
              <w:spacing w:after="0"/>
              <w:rPr>
                <w:sz w:val="1"/>
                <w:szCs w:val="1"/>
                <w:color w:val="auto"/>
              </w:rPr>
            </w:pPr>
          </w:p>
        </w:tc>
      </w:t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1,693,564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1,637,568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1,671,019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7,100,324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8,174,815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5,480,399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5,542,678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6,111,017</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1,502,173</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Liabilities for puttable financial instrument</w:t>
            </w:r>
            <w:r>
              <w:rPr>
                <w:rFonts w:ascii="Times New Roman" w:cs="Times New Roman" w:eastAsia="Times New Roman" w:hAnsi="Times New Roman"/>
                <w:sz w:val="21"/>
                <w:szCs w:val="21"/>
                <w:b w:val="1"/>
                <w:bCs w:val="1"/>
                <w:color w:val="auto"/>
                <w:vertAlign w:val="superscript"/>
              </w:rPr>
              <w:t>4</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15,707,143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14,472,666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14,622,529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7,402,553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7,385,897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7,402,461</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38,287,836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37,218,582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39,484,014</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42,304,828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40,822,765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44,013,247</w:t>
            </w:r>
          </w:p>
        </w:tc>
        <w:tc>
          <w:tcPr>
            <w:tcW w:w="0" w:type="dxa"/>
            <w:vAlign w:val="bottom"/>
          </w:tcPr>
          <w:p>
            <w:pPr>
              <w:spacing w:after="0"/>
              <w:rPr>
                <w:sz w:val="1"/>
                <w:szCs w:val="1"/>
                <w:color w:val="auto"/>
              </w:rPr>
            </w:pPr>
          </w:p>
        </w:tc>
      </w:tr>
      <w:tr>
        <w:trPr>
          <w:trHeight w:val="19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188,225,181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199,425,243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206,339,490</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188,244,205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199,443,569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206,357,798</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2,757,785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3,318,819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3,799,474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191,001,990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202,762,388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210,157,272</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233,306,818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243,585,153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8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211"/>
        </w:trPr>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12,354,929</w:t>
            </w:r>
          </w:p>
        </w:tc>
        <w:tc>
          <w:tcPr>
            <w:tcW w:w="100" w:type="dxa"/>
            <w:vAlign w:val="bottom"/>
          </w:tcPr>
          <w:p>
            <w:pPr>
              <w:spacing w:after="0"/>
              <w:rPr>
                <w:sz w:val="18"/>
                <w:szCs w:val="18"/>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11,435,274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(4,804,011)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(6,930,184)</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7,550,918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4,505,090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2,163,949</w:t>
            </w:r>
          </w:p>
        </w:tc>
        <w:tc>
          <w:tcPr>
            <w:tcW w:w="0" w:type="dxa"/>
            <w:vAlign w:val="bottom"/>
          </w:tcPr>
          <w:p>
            <w:pPr>
              <w:spacing w:after="0"/>
              <w:rPr>
                <w:sz w:val="1"/>
                <w:szCs w:val="1"/>
                <w:color w:val="auto"/>
              </w:rPr>
            </w:pPr>
          </w:p>
        </w:tc>
      </w:tr>
      <w:tr>
        <w:trPr>
          <w:trHeight w:val="216"/>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5</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(4,314,911)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(4,672,935)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5</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(5,756,508)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(5,826,315)</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5</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(18,747,383)</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(25,911,191)</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(19,767,875)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(29,741,402)</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(3,944,407)</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1,752,746</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(579,943)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(225,284)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(85,243)</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(20,620,044)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(32,243,590)</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credit</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375,172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152,655</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(20,244,872)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(32,090,935)</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Profit/(loss) from discontinued operation, net of tax</w:t>
            </w:r>
            <w:r>
              <w:rPr>
                <w:rFonts w:ascii="Times New Roman" w:cs="Times New Roman" w:eastAsia="Times New Roman" w:hAnsi="Times New Roman"/>
                <w:sz w:val="21"/>
                <w:szCs w:val="21"/>
                <w:b w:val="1"/>
                <w:bCs w:val="1"/>
                <w:color w:val="auto"/>
                <w:vertAlign w:val="superscript"/>
              </w:rPr>
              <w:t>6</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47,545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(1,090,255)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(20,197,327)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(33,181,190)</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(770,420)</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1,157,683</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(20,967,747)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(32,023,507)</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(19,290,049)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(32,206,003)</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(907,278)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(975,187)</w:t>
            </w:r>
          </w:p>
        </w:tc>
        <w:tc>
          <w:tcPr>
            <w:tcW w:w="0" w:type="dxa"/>
            <w:vAlign w:val="bottom"/>
          </w:tcPr>
          <w:p>
            <w:pPr>
              <w:spacing w:after="0"/>
              <w:rPr>
                <w:sz w:val="1"/>
                <w:szCs w:val="1"/>
                <w:color w:val="auto"/>
              </w:rPr>
            </w:pPr>
          </w:p>
        </w:tc>
      </w:tr>
      <w:tr>
        <w:trPr>
          <w:trHeight w:val="235"/>
        </w:trPr>
        <w:tc>
          <w:tcPr>
            <w:tcW w:w="7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(20,197,327)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(33,181,190)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(19,926,058)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(30,533,737)</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(1,041,689)</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(1,489,770)</w:t>
            </w:r>
          </w:p>
        </w:tc>
        <w:tc>
          <w:tcPr>
            <w:tcW w:w="0" w:type="dxa"/>
            <w:vAlign w:val="bottom"/>
          </w:tcPr>
          <w:p>
            <w:pPr>
              <w:spacing w:after="0"/>
              <w:rPr>
                <w:sz w:val="1"/>
                <w:szCs w:val="1"/>
                <w:color w:val="auto"/>
              </w:rPr>
            </w:pPr>
          </w:p>
        </w:tc>
      </w:tr>
      <w:tr>
        <w:trPr>
          <w:trHeight w:val="235"/>
        </w:trPr>
        <w:tc>
          <w:tcPr>
            <w:tcW w:w="7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(20,967,747)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(32,023,507)</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12,219,121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10,577,069</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12,219,121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10,577,069</w:t>
            </w:r>
          </w:p>
        </w:tc>
        <w:tc>
          <w:tcPr>
            <w:tcW w:w="0" w:type="dxa"/>
            <w:vAlign w:val="bottom"/>
          </w:tcPr>
          <w:p>
            <w:pPr>
              <w:spacing w:after="0"/>
              <w:rPr>
                <w:sz w:val="1"/>
                <w:szCs w:val="1"/>
                <w:color w:val="auto"/>
              </w:rPr>
            </w:pPr>
          </w:p>
        </w:tc>
      </w:tr>
    </w:tbl>
    <w:p>
      <w:pPr>
        <w:sectPr>
          <w:pgSz w:w="11900" w:h="16838" w:orient="portrait"/>
          <w:cols w:equalWidth="0" w:num="1">
            <w:col w:w="11060"/>
          </w:cols>
          <w:pgMar w:left="320" w:top="1400"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w:t>
      </w: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211"/>
        </w:trPr>
        <w:tc>
          <w:tcPr>
            <w:tcW w:w="5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5,941,532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6,413,397</w:t>
            </w:r>
          </w:p>
        </w:tc>
        <w:tc>
          <w:tcPr>
            <w:tcW w:w="8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6,511,239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(2,173,260)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(2,630,751)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(3,462,245)</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3,768,272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3,782,646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3,048,994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747,891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1,086,858</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5</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(1,898,473)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(2,171,661)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5</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(2,731,050)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(2,592,777)</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5</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(9,687,454)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(9,059,929)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(14,221,382)</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(10,608,960)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(9,158,915)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(14,849,968)</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(3,944,407)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80,586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492,470</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(216,245)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(112,533)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(41,399)</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taxation</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(11,309,131)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(9,310,913)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(18,455,837)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89,234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285,938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(11,219,897)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(9,024,975)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(18,383,837)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Profit/(loss) from discontinued operation, net of tax</w:t>
            </w:r>
            <w:r>
              <w:rPr>
                <w:rFonts w:ascii="Times New Roman" w:cs="Times New Roman" w:eastAsia="Times New Roman" w:hAnsi="Times New Roman"/>
                <w:sz w:val="21"/>
                <w:szCs w:val="21"/>
                <w:b w:val="1"/>
                <w:bCs w:val="1"/>
                <w:color w:val="auto"/>
                <w:vertAlign w:val="superscript"/>
              </w:rPr>
              <w:t>6</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74,160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(3,823,613)</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(11,145,737)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(9,051,590)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(22,207,450)</w:t>
            </w:r>
          </w:p>
        </w:tc>
        <w:tc>
          <w:tcPr>
            <w:tcW w:w="0" w:type="dxa"/>
            <w:vAlign w:val="bottom"/>
          </w:tcPr>
          <w:p>
            <w:pPr>
              <w:spacing w:after="0"/>
              <w:rPr>
                <w:sz w:val="1"/>
                <w:szCs w:val="1"/>
                <w:color w:val="auto"/>
              </w:rPr>
            </w:pPr>
          </w:p>
        </w:tc>
      </w:tr>
      <w:tr>
        <w:trPr>
          <w:trHeight w:val="21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(339,976)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(430,444)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1,794,185</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(11,485,713)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(9,482,034)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(20,413,265)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(10,721,954)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(8,568,095)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(21,807,573)</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(423,783)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(483,495)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(399,877)</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(11,145,737)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(9,051,590)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(22,207,450)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(10,924,679)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(9,001,379)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(20,037,819)</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(561,034)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(480,655)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(375,446)</w:t>
            </w: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(11,485,713)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(9,482,034)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(20,413,265)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4"/>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12,222,337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12,215,904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10,597,565</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12,215,904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10,597,565</w:t>
            </w:r>
          </w:p>
        </w:tc>
        <w:tc>
          <w:tcPr>
            <w:tcW w:w="0" w:type="dxa"/>
            <w:vAlign w:val="bottom"/>
          </w:tcPr>
          <w:p>
            <w:pPr>
              <w:spacing w:after="0"/>
              <w:rPr>
                <w:sz w:val="1"/>
                <w:szCs w:val="1"/>
                <w:color w:val="auto"/>
              </w:rPr>
            </w:pPr>
          </w:p>
        </w:tc>
      </w:tr>
    </w:tbl>
    <w:p>
      <w:pPr>
        <w:sectPr>
          <w:pgSz w:w="11900" w:h="16838" w:orient="portrait"/>
          <w:cols w:equalWidth="0" w:num="1">
            <w:col w:w="11040"/>
          </w:cols>
          <w:pgMar w:left="320" w:top="1400"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from operations from continuing operations under IFRS and adjusted EBITDA loss from continuing operations (Non-IFRS)</w:t>
      </w: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4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7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(19,767,875)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(29,741,402)</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3,472,846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6,284,469</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3,402,363</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4,133,207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4,002,301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1,421,718</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income, exchange gain or loss, net</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(1,394,783)</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(1,944,734)</w:t>
            </w:r>
          </w:p>
        </w:tc>
      </w:tr>
      <w:tr>
        <w:trPr>
          <w:trHeight w:val="212"/>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loss from continuing operations (Non-IFRS)</w:t>
            </w: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(9,567,687)</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(16,575,285)</w:t>
            </w:r>
          </w:p>
        </w:tc>
      </w:tr>
      <w:tr>
        <w:trPr>
          <w:trHeight w:val="21"/>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8"/>
        </w:trPr>
        <w:tc>
          <w:tcPr>
            <w:tcW w:w="5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5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(10,608,960)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(9,158,915)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(14,849,968)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1,937,268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3,343,485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1,719,555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1,605,373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2,044,934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2,088,273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3,077,902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499,357</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 exchange gain or loss, net</w:t>
            </w: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(694,194)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(700,589)</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(944,603)</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loss from continuing operations (Non-IFRS)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(5,461,569)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(4,106,118)</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(7,268,454)</w:t>
            </w:r>
          </w:p>
        </w:tc>
      </w:tr>
      <w:tr>
        <w:trPr>
          <w:trHeight w:val="20"/>
        </w:trPr>
        <w:tc>
          <w:tcPr>
            <w:tcW w:w="5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60"/>
          </w:cols>
          <w:pgMar w:left="320" w:top="1400" w:right="5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w:t>
      </w:r>
    </w:p>
    <w:p>
      <w:pPr>
        <w:jc w:val="both"/>
        <w:ind w:firstLine="8"/>
        <w:spacing w:after="0" w:line="230" w:lineRule="auto"/>
        <w:tabs>
          <w:tab w:leader="none" w:pos="92" w:val="left"/>
        </w:tabs>
        <w:numPr>
          <w:ilvl w:val="0"/>
          <w:numId w:val="5"/>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In connection with the acquisition of ACT Genomics, the remaining shareholders of ACT Genomics - representing 25.61% of the fully diluted shareholding of ACT Genomics that Prenetics does not own - were granted put options which allow these remaining shareholders to put their remaining shares to Prenetics under certain conditions. The liabilities arising from such put option are recorded as </w:t>
      </w:r>
      <w:r>
        <w:rPr>
          <w:rFonts w:ascii="Times New Roman" w:cs="Times New Roman" w:eastAsia="Times New Roman" w:hAnsi="Times New Roman"/>
          <w:sz w:val="16"/>
          <w:szCs w:val="16"/>
          <w:i w:val="1"/>
          <w:iCs w:val="1"/>
          <w:color w:val="auto"/>
        </w:rPr>
        <w:t>liabilities for puttable financial instrument</w:t>
      </w:r>
      <w:r>
        <w:rPr>
          <w:rFonts w:ascii="Times New Roman" w:cs="Times New Roman" w:eastAsia="Times New Roman" w:hAnsi="Times New Roman"/>
          <w:sz w:val="16"/>
          <w:szCs w:val="16"/>
          <w:color w:val="auto"/>
        </w:rPr>
        <w:t>, and are valued at the present value of the exercise price of the put option.</w:t>
      </w:r>
    </w:p>
    <w:p>
      <w:pPr>
        <w:spacing w:after="0" w:line="179" w:lineRule="exact"/>
        <w:rPr>
          <w:sz w:val="20"/>
          <w:szCs w:val="20"/>
          <w:color w:val="auto"/>
        </w:rPr>
      </w:pPr>
    </w:p>
    <w:p>
      <w:pPr>
        <w:ind w:left="80" w:hanging="72"/>
        <w:spacing w:after="0"/>
        <w:tabs>
          <w:tab w:leader="none" w:pos="80" w:val="left"/>
        </w:tabs>
        <w:numPr>
          <w:ilvl w:val="0"/>
          <w:numId w:val="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7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7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103,868</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1,568,844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1,360,896</w:t>
            </w: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1,855,743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4,778,170</w:t>
            </w:r>
          </w:p>
        </w:tc>
      </w:tr>
      <w:tr>
        <w:trPr>
          <w:trHeight w:val="237"/>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equity-settled share-based payment expenses</w:t>
            </w: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3,427,071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6,242,934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7"/>
        </w:trPr>
        <w:tc>
          <w:tcPr>
            <w:tcW w:w="5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r>
      <w:tr>
        <w:trPr>
          <w:trHeight w:val="211"/>
        </w:trPr>
        <w:tc>
          <w:tcPr>
            <w:tcW w:w="5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58,613</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758,394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874,389</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699,991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1,155,752</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2,387,126</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equity-settled share-based payment expenses</w:t>
            </w: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1,511,291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1,915,780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3,320,128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8"/>
        <w:spacing w:after="0" w:line="231" w:lineRule="auto"/>
        <w:tabs>
          <w:tab w:leader="none" w:pos="113"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We ceased our COVID-19 testing business entirely in 2023 Q2, and other DNA testing operations in the EMEA regions in 2023 Q4. As a result, COVID-19 testing business and the operations in the EMEA regions are reported as a discontinued operation under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In accordance with IFRS 5, the results of the discontinued operation have been presented separately from the continuing operations in the consolidated statements of profit or loss and other comprehensive income.</w:t>
      </w:r>
    </w:p>
    <w:sectPr>
      <w:pgSz w:w="11900" w:h="16838" w:orient="portrait"/>
      <w:cols w:equalWidth="0" w:num="1">
        <w:col w:w="11240"/>
      </w:cols>
      <w:pgMar w:left="320" w:top="14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2024-10-07T07:43:05Z</dcterms:created>
  <dcterms:modified xsi:type="dcterms:W3CDTF">2024-10-07T07:43:05Z</dcterms:modified>
</cp:coreProperties>
</file>