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43"/>
          <w:szCs w:val="43"/>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Unit 701-706, K11 Atelier King’s Road</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728 King’s Road, Quarry Bay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4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w:t>
      </w:r>
      <w:r>
        <w:rPr>
          <w:rFonts w:ascii="Times New Roman" w:cs="Times New Roman" w:eastAsia="Times New Roman" w:hAnsi="Times New Roman"/>
          <w:sz w:val="18"/>
          <w:szCs w:val="18"/>
          <w:u w:val="single" w:color="auto"/>
          <w:color w:val="0000EE"/>
        </w:rPr>
        <w:t>Press Release</w:t>
      </w:r>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Lo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Lo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2022</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94130"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413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Prenetics Announces Second Quarter 2022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Raises Full Year Adjusted EBITDA Outlook</w:t>
      </w:r>
    </w:p>
    <w:p>
      <w:pPr>
        <w:spacing w:after="0" w:line="112"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US$51.7 million in the second quarter of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of US$(17.9) million and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US$6.5 million in the same period</w:t>
      </w:r>
    </w:p>
    <w:p>
      <w:pPr>
        <w:spacing w:after="0" w:line="58" w:lineRule="exact"/>
        <w:rPr>
          <w:rFonts w:ascii="Times New Roman" w:cs="Times New Roman" w:eastAsia="Times New Roman" w:hAnsi="Times New Roman"/>
          <w:sz w:val="18"/>
          <w:szCs w:val="18"/>
          <w:color w:val="auto"/>
        </w:rPr>
      </w:pPr>
    </w:p>
    <w:p>
      <w:pPr>
        <w:ind w:left="960" w:right="640" w:hanging="424"/>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Raises full year adjusted EBITDA guidance to the range of US$35 million to US$45 million, with corresponding full year revenue guidance in the range of US$255 million to US$275 million</w:t>
      </w:r>
    </w:p>
    <w:p>
      <w:pPr>
        <w:spacing w:after="0" w:line="88" w:lineRule="exact"/>
        <w:rPr>
          <w:rFonts w:ascii="Times New Roman" w:cs="Times New Roman" w:eastAsia="Times New Roman" w:hAnsi="Times New Roman"/>
          <w:sz w:val="18"/>
          <w:szCs w:val="18"/>
          <w:color w:val="auto"/>
        </w:rPr>
      </w:pPr>
    </w:p>
    <w:p>
      <w:pPr>
        <w:ind w:left="960" w:right="9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cash and cash equivalents, short-term financial assets, trade receivables, deposits, prepayments and other receivables of US$215.3 million on balance sheet as of June 30, 2022</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launched two pipeline products, ColoClear and Circle SnapShot in the period, growing Prenetics beyond COVID-19 testing services</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Prenetics and Animoca Brands, the pioneer in Web3 signed an agreement to form a joint venture to create a decentralized digital health data platform on the Metaverse. Additional details to be announced in the fourth quarter of 2022</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LONDON AND HONG KONG, September 9, 2022 </w:t>
      </w:r>
      <w:r>
        <w:rPr>
          <w:rFonts w:ascii="Times New Roman" w:cs="Times New Roman" w:eastAsia="Times New Roman" w:hAnsi="Times New Roman"/>
          <w:sz w:val="18"/>
          <w:szCs w:val="18"/>
          <w:color w:val="auto"/>
        </w:rPr>
        <w:t>– Prenetics Global Limited (NASDAQ: PRE) (“Prenetics” or the “Company”), a global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genomic and diagnostic testing, today announced its unaudited financial results for the second quarter ended June 30, 2022.</w:t>
      </w:r>
    </w:p>
    <w:p>
      <w:pPr>
        <w:spacing w:after="0" w:line="155"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Danny Yeung, CEO &amp; Co-founder of Prenetics,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current and next fiscal year are critical periods of transformative growth for Prenetics.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full support of our management and board we have put into motion a sensible strategic plan which guides us in achieving our mission to decentralize healthcare. In doing so, we aim to further grow our business beyond diagnostic testing by penetrating prevention and personalized care segments.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present, our genetics and diagnostics testing services continue to be our strongest offering. The diagnostics segment is a major contributor to our total revenues and places us into a strong position to execute on our diversification initiatives through M&amp;A. Organically, we expanded our product pipeline through the launch of ColoClear, a non-invasive stool DNA test for the early detection of colorectal cancer and Circle SnapShot, an at-home painless blood test, two major initiatives in placing the control of health into consumers’ hands while in the comfort of their homes. At a global level, we continue to be in deep discussions with various M&amp;A targets, especially in the areas of telehealth, personalized care and specialized clinics. The synergies which we believe we can build upon are expected to provide us the tools needed to build the world’s first global end-to-end healthcare ecosystem.”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Financial and Operational Highlights</w:t>
      </w:r>
    </w:p>
    <w:p>
      <w:pPr>
        <w:spacing w:after="0" w:line="131" w:lineRule="exact"/>
        <w:rPr>
          <w:sz w:val="20"/>
          <w:szCs w:val="20"/>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US$51.7 million for the second quarter of 2022</w:t>
      </w:r>
    </w:p>
    <w:p>
      <w:pPr>
        <w:spacing w:after="0" w:line="130" w:lineRule="exact"/>
        <w:rPr>
          <w:rFonts w:ascii="Times New Roman" w:cs="Times New Roman" w:eastAsia="Times New Roman" w:hAnsi="Times New Roman"/>
          <w:sz w:val="18"/>
          <w:szCs w:val="18"/>
          <w:color w:val="auto"/>
        </w:rPr>
      </w:pPr>
    </w:p>
    <w:p>
      <w:pPr>
        <w:ind w:left="960" w:right="240" w:hanging="424"/>
        <w:spacing w:after="0" w:line="268" w:lineRule="auto"/>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US$(17.9) million for the second quarter of 2022. Included in the loss were employee equity-settled share-based payment expenses of US$13.0 million and other strategic financing, transactional expense and non-recurring expenses of US $8.8 million</w:t>
      </w:r>
    </w:p>
    <w:p>
      <w:pPr>
        <w:spacing w:after="0" w:line="7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42% for the second quarter of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US$6.5 million for the second quarter of 2022</w:t>
      </w:r>
    </w:p>
    <w:p>
      <w:pPr>
        <w:spacing w:after="0" w:line="134"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strong balance sheet with cash and cash equivalents, short-term financial assets, trade receivables, deposits, prepayments and other receivables of US$215.3 million to support M&amp;A and strategic growth initiatives</w:t>
      </w:r>
    </w:p>
    <w:p>
      <w:pPr>
        <w:spacing w:after="0" w:line="67" w:lineRule="exact"/>
        <w:rPr>
          <w:rFonts w:ascii="Times New Roman" w:cs="Times New Roman" w:eastAsia="Times New Roman" w:hAnsi="Times New Roman"/>
          <w:sz w:val="18"/>
          <w:szCs w:val="18"/>
          <w:color w:val="auto"/>
        </w:rPr>
      </w:pPr>
    </w:p>
    <w:p>
      <w:pPr>
        <w:ind w:left="960" w:right="640" w:hanging="424"/>
        <w:spacing w:after="0" w:line="282" w:lineRule="auto"/>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quarantine policy globally accelerated resumption of travel and continued COVID-19 testing service volumes, with further momentum into the third and fourth quarter of 2022</w:t>
      </w:r>
    </w:p>
    <w:p>
      <w:pPr>
        <w:spacing w:after="0" w:line="134" w:lineRule="exact"/>
        <w:rPr>
          <w:rFonts w:ascii="Times New Roman" w:cs="Times New Roman" w:eastAsia="Times New Roman" w:hAnsi="Times New Roman"/>
          <w:sz w:val="18"/>
          <w:szCs w:val="18"/>
          <w:color w:val="auto"/>
        </w:rPr>
      </w:pPr>
    </w:p>
    <w:p>
      <w:pPr>
        <w:ind w:left="420" w:right="2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Adjusted EBITDA (non-IFRS) represents (loss)/profit from operations under IFRS before equity-settled share-based payment expenses, depreciation and amortization, other strategic financing, transactional expense and non-operating recurring expense, and finance income, exchange gain or loss. See the section titled “Unaudited Financial Information and Non-IFRS Financial Measures” and the table captioned “Reconciliation of (Loss)/Profit from Operations under IFRS and Adjusted EBITDA (Non-IFRS)”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-585470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 w:name="page5"/>
    <w:bookmarkEnd w:id="4"/>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6865"/>
                    </a:xfrm>
                    <a:prstGeom prst="rect">
                      <a:avLst/>
                    </a:prstGeom>
                    <a:noFill/>
                  </pic:spPr>
                </pic:pic>
              </a:graphicData>
            </a:graphic>
          </wp:anchor>
        </w:drawing>
        <w:t>Significant progress with M&amp;A discussions and geographic expansion</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organic growth - official launch of ColoClear in June 2022 and Circle SnapShot in August 2022. Pipeline product Pet DNA expected to be launched in the fourth quarter of 2022</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Prenetics has performed and delivered more than 23 million laboratory and at-home COVID-19 tests globally as of June 30,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2022 Financial Highlights</w:t>
      </w:r>
    </w:p>
    <w:p>
      <w:pPr>
        <w:spacing w:after="0" w:line="131" w:lineRule="exact"/>
        <w:rPr>
          <w:sz w:val="20"/>
          <w:szCs w:val="20"/>
          <w:color w:val="auto"/>
        </w:rPr>
      </w:pPr>
    </w:p>
    <w:p>
      <w:pPr>
        <w:ind w:left="960" w:right="2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US$143.8 million for the six months ended June 30, 2022, compared to US$136.5 million for the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representing an increase of 5% year-over-year, on track to beat FY2022 guidance</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US$(18.4) million for the six months ended June 30, 2022 compared to profit from operations of</w:t>
      </w:r>
    </w:p>
    <w:p>
      <w:pPr>
        <w:spacing w:after="0" w:line="31" w:lineRule="exact"/>
        <w:rPr>
          <w:rFonts w:ascii="Times New Roman" w:cs="Times New Roman" w:eastAsia="Times New Roman" w:hAnsi="Times New Roman"/>
          <w:sz w:val="18"/>
          <w:szCs w:val="18"/>
          <w:color w:val="auto"/>
        </w:rPr>
      </w:pPr>
    </w:p>
    <w:p>
      <w:pPr>
        <w:ind w:left="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US$25.9 million for the six months ended June 30, 2021. Included in the loss were employee equity-settled share-based payment expenses of US$22.3 million and other strategic financing, transactional expense and non-recurring expenses of US$10.5 million</w:t>
      </w:r>
    </w:p>
    <w:p>
      <w:pPr>
        <w:spacing w:after="0" w:line="8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40% for the six months ended June 30, 2022 compared to 42% for the six months ended June 30, 2021</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US$19.3 million for the six months ended June 30, 2022 compared to US$32.6 million for the six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2021, achieving full year adjusted consensus estimates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Prenetics provides guidance based on current market conditions and expectations for revenue and adjusted EBITDA, which is a non-IFRS financial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2022, we expect:</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to be in the range of US$65 million to US$70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 be in the range of US$15 million to US$20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Founded in 2014, Prenetics is a major global diagnostics and genetic testing company with the mission to bring health closer to millions of people globally and decentralize healthcare by making the three pillars — Prevention, Diagnostics and Personalized Care — comprehensive and accessible to anyone, at anytime and anywhere. Prenetics is led by visionary entrepreneur, Danny Yeung, with operations across 9 locations, including United Kingdom, Hong Kong, India, South Africa, and Southeast Asia. Prenetics develops consumer genetic testing and early colorectal cancer screening; and provides COVID-19 testing, rapid point of care and at-home diagnostic testing and medical genetic testing. To learn more about Prenetics, visit </w:t>
      </w:r>
      <w:r>
        <w:rPr>
          <w:rFonts w:ascii="Times New Roman" w:cs="Times New Roman" w:eastAsia="Times New Roman" w:hAnsi="Times New Roman"/>
          <w:sz w:val="18"/>
          <w:szCs w:val="18"/>
          <w:u w:val="single" w:color="auto"/>
          <w:color w:val="auto"/>
        </w:rPr>
        <w:t>www.prenetics.com.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investors@prenetics.com</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0"/>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Strategic Public Relations Group</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Vicky Lee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2864 4834</w:t>
            </w:r>
          </w:p>
        </w:tc>
        <w:tc>
          <w:tcPr>
            <w:tcW w:w="2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Email: vicky.lee@sprg.com.hk</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Corinne Ho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2114 4911</w:t>
            </w:r>
          </w:p>
        </w:tc>
        <w:tc>
          <w:tcPr>
            <w:tcW w:w="2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Email: corinne.ho@sprg.com.hk</w:t>
            </w:r>
          </w:p>
        </w:tc>
      </w:tr>
      <w:tr>
        <w:trPr>
          <w:trHeight w:val="194"/>
        </w:trPr>
        <w:tc>
          <w:tcPr>
            <w:tcW w:w="3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Holly Szeto</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+852</w:t>
            </w:r>
          </w:p>
        </w:tc>
        <w:tc>
          <w:tcPr>
            <w:tcW w:w="13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2864 4853</w:t>
            </w:r>
          </w:p>
        </w:tc>
        <w:tc>
          <w:tcPr>
            <w:tcW w:w="2900" w:type="dxa"/>
            <w:vAlign w:val="bottom"/>
            <w:gridSpan w:val="2"/>
          </w:tcPr>
          <w:p>
            <w:pPr>
              <w:ind w:left="560"/>
              <w:spacing w:after="0" w:line="194" w:lineRule="exact"/>
              <w:rPr>
                <w:sz w:val="20"/>
                <w:szCs w:val="20"/>
                <w:color w:val="auto"/>
              </w:rPr>
            </w:pPr>
            <w:r>
              <w:rPr>
                <w:rFonts w:ascii="Times New Roman" w:cs="Times New Roman" w:eastAsia="Times New Roman" w:hAnsi="Times New Roman"/>
                <w:sz w:val="18"/>
                <w:szCs w:val="18"/>
                <w:color w:val="auto"/>
                <w:w w:val="98"/>
              </w:rPr>
              <w:t>Email: holly.szeto@sprg.com.hk</w:t>
            </w: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www.sprg.com.hk</w:t>
            </w: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bl>
    <w:p>
      <w:pPr>
        <w:sectPr>
          <w:pgSz w:w="11900" w:h="16838" w:orient="portrait"/>
          <w:cols w:equalWidth="0" w:num="1">
            <w:col w:w="10960"/>
          </w:cols>
          <w:pgMar w:left="440" w:top="918"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6865"/>
                    </a:xfrm>
                    <a:prstGeom prst="rect">
                      <a:avLst/>
                    </a:prstGeom>
                    <a:noFill/>
                  </pic:spPr>
                </pic:pic>
              </a:graphicData>
            </a:graphic>
          </wp:anchor>
        </w:drawing>
        <w:t>Forward-Looking Statements</w:t>
      </w:r>
    </w:p>
    <w:p>
      <w:pPr>
        <w:spacing w:after="0" w:line="121"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This document contains forward-looking statements within the meaning of Section 27A of the Securities Act and Section 21E of the Exchange Act that are based on beliefs and assumptions and on information currently available to Prenetics, and also contains certain financial forecasts and projections.</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 contained in this document, including, but not limited to, statements about Prenetics’ future results of operations and financial position, plans for new product development and geographic expansion, objectives of management for future operations, projections of market opportunity and revenue growth, competitive position, and technological and market trends, are forward-looking statements.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These statements are based upon estimates and forecasts and reflect the views, assumptions, expectations, and opinions of Prenetics, which involve inherent risks, uncertainties and other factors that may cause actual results, levels of activity, performance or achievements to be materially different from those expressed or implied by these forward-looking statements. Any such estimates, assumptions, expectations, forecasts, views or opinions, whether or not identified in this document, should be regarded as indicative, preliminary and for illustrative purposes only and should not be relied upon as being necessarily indicative of future results. A number of risks and uncertainties could cause actual results to differ materially from those contained in any forward-looking statement, including but not limited to: changes in applicable laws or regulations applicable to Prenetics; developments related to the COVID-19 pandemic; the regulatory environment and changes in laws, regulations or policies in which Prenetics operate; Prenetics’ ability to successfully compete in highly competitive industries and markets; Prenetics’ ability to continue to adjust its offerings to meet market demand; Prenetics’ ability to attract customers to choose its products and services and grow its ecosystem; political instability in the jurisdictions in which Prenetics operates; the overall economic environment and general market and economic conditions in the jurisdiction in which Prenetics operates; and Prenetics’ ability to execute its strategies, manage growth and maintain its corporate culture as it grows. In addition to the foregoing factors, you should also carefully consider the other risks and uncertainties included in Prenetics’ filings with the U.S. Securities and Exchange Commission (the “SEC”) from time to time.</w:t>
      </w:r>
    </w:p>
    <w:p>
      <w:pPr>
        <w:spacing w:after="0" w:line="19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Prenetics does not undertake any obligation to update any forward-looking statement, whether as a result of new information, future developments, or otherwise, except as required under applicable law.</w:t>
      </w:r>
    </w:p>
    <w:p>
      <w:pPr>
        <w:sectPr>
          <w:pgSz w:w="11900" w:h="16838" w:orient="portrait"/>
          <w:cols w:equalWidth="0" w:num="1">
            <w:col w:w="11000"/>
          </w:cols>
          <w:pgMar w:left="440" w:top="914"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6865"/>
                    </a:xfrm>
                    <a:prstGeom prst="rect">
                      <a:avLst/>
                    </a:prstGeom>
                    <a:noFill/>
                  </pic:spPr>
                </pic:pic>
              </a:graphicData>
            </a:graphic>
          </wp:anchor>
        </w:drawing>
        <w:t>Website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Prenetics intends to use its website as a distribution channel of material company information. Financial and other important information regarding the Company is routinely posted on and accessible through the Company’s website at </w:t>
      </w:r>
      <w:r>
        <w:rPr>
          <w:rFonts w:ascii="Times New Roman" w:cs="Times New Roman" w:eastAsia="Times New Roman" w:hAnsi="Times New Roman"/>
          <w:sz w:val="18"/>
          <w:szCs w:val="18"/>
          <w:u w:val="single" w:color="auto"/>
          <w:color w:val="auto"/>
        </w:rPr>
        <w:t>https://www.prenetics.com/</w:t>
      </w:r>
      <w:r>
        <w:rPr>
          <w:rFonts w:ascii="Times New Roman" w:cs="Times New Roman" w:eastAsia="Times New Roman" w:hAnsi="Times New Roman"/>
          <w:sz w:val="18"/>
          <w:szCs w:val="18"/>
          <w:color w:val="auto"/>
        </w:rPr>
        <w:t xml:space="preserve">. Accordingly, we recommend you to monitor the investor relations portion of our website at </w:t>
      </w:r>
      <w:r>
        <w:rPr>
          <w:rFonts w:ascii="Times New Roman" w:cs="Times New Roman" w:eastAsia="Times New Roman" w:hAnsi="Times New Roman"/>
          <w:sz w:val="18"/>
          <w:szCs w:val="18"/>
          <w:u w:val="single" w:color="auto"/>
          <w:color w:val="auto"/>
        </w:rPr>
        <w:t>https://ir.prenetics.com/</w:t>
      </w:r>
      <w:r>
        <w:rPr>
          <w:rFonts w:ascii="Times New Roman" w:cs="Times New Roman" w:eastAsia="Times New Roman" w:hAnsi="Times New Roman"/>
          <w:sz w:val="18"/>
          <w:szCs w:val="18"/>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“Request Email Alerts” section of our investor relations page at </w:t>
      </w:r>
      <w:r>
        <w:rPr>
          <w:rFonts w:ascii="Times New Roman" w:cs="Times New Roman" w:eastAsia="Times New Roman" w:hAnsi="Times New Roman"/>
          <w:sz w:val="18"/>
          <w:szCs w:val="18"/>
          <w:u w:val="single" w:color="auto"/>
          <w:color w:val="auto"/>
        </w:rPr>
        <w:t>https://ir.prenetics.com/</w:t>
      </w:r>
      <w:r>
        <w:rPr>
          <w:rFonts w:ascii="Times New Roman" w:cs="Times New Roman" w:eastAsia="Times New Roman" w:hAnsi="Times New Roman"/>
          <w:sz w:val="18"/>
          <w:szCs w:val="18"/>
          <w:color w:val="auto"/>
        </w:rPr>
        <w:t>. However, the additional information contained on our website is not part of our SEC filings.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Unaudited Financial Information and Non-IFRS Financial Measures has been provided in the financial statements tables included at the end of this press release. An explanation of these measures is also included below under the heading “Unaudited Financial Information and Non-IFRS Financial Measures.”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Information and Non-IFRS Financial Measures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measures, Adjusted EBITDA, adjusted gross profit and adjusted profit for the period.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Management is excluding from some or all of its non-IFRS operating results (1) Equity-settled share-based payment expenses, (2) depreciation and amortization, (3) finance income and exchange gain or loss, and (4) other discretionary items determined by management.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under IFRS and Adjusted EBITDA (Non-IFRS)”, “Reconciliation of Gross Profit under IFRS and Adjusted Gross Profit (Non-IFRS)” and “Reconciliation of Loss attributable to equity shareholders of Prenetics under IFRS and Adjusted Profit for the period (Non-IFRS)” set forth at the end of this document.</w:t>
      </w:r>
    </w:p>
    <w:p>
      <w:pPr>
        <w:sectPr>
          <w:pgSz w:w="11900" w:h="16838" w:orient="portrait"/>
          <w:cols w:equalWidth="0" w:num="1">
            <w:col w:w="10980"/>
          </w:cols>
          <w:pgMar w:left="440" w:top="914" w:right="4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6865"/>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0" w:type="dxa"/>
            <w:vAlign w:val="bottom"/>
          </w:tcPr>
          <w:p>
            <w:pPr>
              <w:spacing w:after="0"/>
              <w:rPr>
                <w:sz w:val="1"/>
                <w:szCs w:val="1"/>
                <w:color w:val="auto"/>
              </w:rPr>
            </w:pPr>
          </w:p>
        </w:tc>
      </w:tr>
      <w:tr>
        <w:trPr>
          <w:trHeight w:val="151"/>
        </w:trPr>
        <w:tc>
          <w:tcPr>
            <w:tcW w:w="7760" w:type="dxa"/>
            <w:vAlign w:val="bottom"/>
          </w:tcPr>
          <w:p>
            <w:pPr>
              <w:spacing w:after="0"/>
              <w:rPr>
                <w:sz w:val="13"/>
                <w:szCs w:val="13"/>
                <w:color w:val="auto"/>
              </w:rPr>
            </w:pPr>
          </w:p>
        </w:tc>
        <w:tc>
          <w:tcPr>
            <w:tcW w:w="1120" w:type="dxa"/>
            <w:vAlign w:val="bottom"/>
            <w:gridSpan w:val="2"/>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120" w:type="dxa"/>
            <w:vAlign w:val="bottom"/>
            <w:gridSpan w:val="2"/>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0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73"/>
        </w:trPr>
        <w:tc>
          <w:tcPr>
            <w:tcW w:w="77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12,863,570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13,889,642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13,037,192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21,675,333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23,866,729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23,826,282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3,538,599</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3,841,604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3,978,065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82,387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79,702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expenses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8,538,212</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449,651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637,816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693,548</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47,070,348</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42,318,178</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41,614,789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11,296,467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15,684,851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6,829,226</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42,634,854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59,248,964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47,041,538</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4,553,370</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Deposits, prepayments and other receivables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11,563,328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8,162,554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7,817,756</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companies</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26,746,657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9,906,000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9,906,000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134,379,603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34,246,918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35,288,952</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231,174,279</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127,258,957</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106,892,532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278,244,627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169,577,135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148,507,321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596,151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740,057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659,498</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liabilities</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517,102,888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486,404,770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8,311,000</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3,066,826</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3,242,210</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11,973,977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521,085,155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490,664,500</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8,571,871</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14,216,664</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14,735,987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31,374,348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36,280,298</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9,762,974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11,548,746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9,587,245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1,874,093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1,503,240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1,666,978</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Bank loans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9,201,820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12,076,364</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3,121,962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2,807,049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1,223,487</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47,268,707</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73,526,411</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58,737,734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59,242,684</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594,611,566</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549,402,234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14"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6865"/>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r>
      <w:tr>
        <w:trPr>
          <w:trHeight w:val="151"/>
        </w:trPr>
        <w:tc>
          <w:tcPr>
            <w:tcW w:w="7460" w:type="dxa"/>
            <w:vAlign w:val="bottom"/>
          </w:tcPr>
          <w:p>
            <w:pPr>
              <w:spacing w:after="0"/>
              <w:rPr>
                <w:sz w:val="13"/>
                <w:szCs w:val="13"/>
                <w:color w:val="auto"/>
              </w:rPr>
            </w:pPr>
          </w:p>
        </w:tc>
        <w:tc>
          <w:tcPr>
            <w:tcW w:w="1180" w:type="dxa"/>
            <w:vAlign w:val="bottom"/>
            <w:gridSpan w:val="2"/>
          </w:tcPr>
          <w:p>
            <w:pPr>
              <w:jc w:val="right"/>
              <w:ind w:right="2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240" w:type="dxa"/>
            <w:vAlign w:val="bottom"/>
            <w:gridSpan w:val="2"/>
          </w:tcPr>
          <w:p>
            <w:pPr>
              <w:jc w:val="right"/>
              <w:ind w:right="141"/>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140" w:type="dxa"/>
            <w:vAlign w:val="bottom"/>
            <w:gridSpan w:val="2"/>
          </w:tcPr>
          <w:p>
            <w:pPr>
              <w:jc w:val="right"/>
              <w:ind w:right="41"/>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87"/>
        </w:trPr>
        <w:tc>
          <w:tcPr>
            <w:tcW w:w="74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6"/>
        </w:trPr>
        <w:tc>
          <w:tcPr>
            <w:tcW w:w="746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Share capital (US$0.0001 par value, 500,000,000 shares authorized and 110,979,347 shares issued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(March 31, 2022: US$0.0001 par value, 500,000,000 shares authorized and 14,932,033 shares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issued; December 31, 2021: US$0.0001 par value, 500,000,000 shares authorized and 14,932,033</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shares issued)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11,098</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1,493</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219,075,867</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(424,950,903)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(400,811,431)</w:t>
            </w: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equity/(equity deficiency) attributable to equity shareholders of the Company</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219,086,965</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(424,949,410)</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(400,809,938)</w:t>
            </w:r>
          </w:p>
        </w:tc>
        <w:tc>
          <w:tcPr>
            <w:tcW w:w="12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(85,022)</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(85,021)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(84,975)</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equity/(equity deficiency)</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219,001,943</w:t>
            </w: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(425,034,431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(400,894,913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278,244,627</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169,577,135</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148,507,321</w:t>
            </w:r>
          </w:p>
        </w:tc>
      </w:tr>
      <w:tr>
        <w:trPr>
          <w:trHeight w:val="20"/>
        </w:trPr>
        <w:tc>
          <w:tcPr>
            <w:tcW w:w="7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14" w:right="43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6865"/>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i w:val="1"/>
                <w:iCs w:val="1"/>
                <w:color w:val="auto"/>
              </w:rPr>
              <w:t>For the six months ended</w:t>
            </w:r>
          </w:p>
        </w:tc>
      </w:tr>
      <w:tr>
        <w:trPr>
          <w:trHeight w:val="149"/>
        </w:trPr>
        <w:tc>
          <w:tcPr>
            <w:tcW w:w="8680" w:type="dxa"/>
            <w:vAlign w:val="bottom"/>
          </w:tcPr>
          <w:p>
            <w:pPr>
              <w:spacing w:after="0"/>
              <w:rPr>
                <w:sz w:val="12"/>
                <w:szCs w:val="12"/>
                <w:color w:val="auto"/>
              </w:rPr>
            </w:pPr>
          </w:p>
        </w:tc>
        <w:tc>
          <w:tcPr>
            <w:tcW w:w="12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r>
      <w:tr>
        <w:trPr>
          <w:trHeight w:val="150"/>
        </w:trPr>
        <w:tc>
          <w:tcPr>
            <w:tcW w:w="8680" w:type="dxa"/>
            <w:vAlign w:val="bottom"/>
          </w:tcPr>
          <w:p>
            <w:pPr>
              <w:spacing w:after="0"/>
              <w:rPr>
                <w:sz w:val="13"/>
                <w:szCs w:val="13"/>
                <w:color w:val="auto"/>
              </w:rPr>
            </w:pPr>
          </w:p>
        </w:tc>
        <w:tc>
          <w:tcPr>
            <w:tcW w:w="106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73"/>
        </w:trPr>
        <w:tc>
          <w:tcPr>
            <w:tcW w:w="86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143,760,317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136,477,480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(86,027,559)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(79,851,389)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57,732,758</w:t>
            </w:r>
          </w:p>
        </w:tc>
        <w:tc>
          <w:tcPr>
            <w:tcW w:w="220" w:type="dxa"/>
            <w:vAlign w:val="bottom"/>
            <w:gridSpan w:val="2"/>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56,626,091</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other net (losses)/gains</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(585,339)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356,043</w:t>
            </w:r>
          </w:p>
        </w:tc>
      </w:tr>
      <w:tr>
        <w:trPr>
          <w:trHeight w:val="196"/>
        </w:trPr>
        <w:tc>
          <w:tcPr>
            <w:tcW w:w="8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Selling and distribution expenses </w:t>
            </w:r>
            <w:r>
              <w:rPr>
                <w:rFonts w:ascii="Times New Roman" w:cs="Times New Roman" w:eastAsia="Times New Roman" w:hAnsi="Times New Roman"/>
                <w:sz w:val="18"/>
                <w:szCs w:val="18"/>
                <w:i w:val="1"/>
                <w:iCs w:val="1"/>
                <w:color w:val="auto"/>
              </w:rPr>
              <w:t>(included employee equity-settled share-based payment expenses of $39,642 (2021:</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$5,853))</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(8,402,422)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(6,283,243)</w:t>
            </w:r>
          </w:p>
        </w:tc>
      </w:tr>
      <w:tr>
        <w:trPr>
          <w:trHeight w:val="196"/>
        </w:trPr>
        <w:tc>
          <w:tcPr>
            <w:tcW w:w="8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Research and development expenses </w:t>
            </w:r>
            <w:r>
              <w:rPr>
                <w:rFonts w:ascii="Times New Roman" w:cs="Times New Roman" w:eastAsia="Times New Roman" w:hAnsi="Times New Roman"/>
                <w:sz w:val="18"/>
                <w:szCs w:val="18"/>
                <w:i w:val="1"/>
                <w:iCs w:val="1"/>
                <w:color w:val="auto"/>
              </w:rPr>
              <w:t>(included employee equity-settled share-based payment expenses of $2,897,319</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(2021: $699,028))</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(8,664,734)</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(2,933,491)</w:t>
            </w:r>
          </w:p>
        </w:tc>
      </w:tr>
      <w:tr>
        <w:trPr>
          <w:trHeight w:val="196"/>
        </w:trPr>
        <w:tc>
          <w:tcPr>
            <w:tcW w:w="8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Administrative and other operating expenses </w:t>
            </w:r>
            <w:r>
              <w:rPr>
                <w:rFonts w:ascii="Times New Roman" w:cs="Times New Roman" w:eastAsia="Times New Roman" w:hAnsi="Times New Roman"/>
                <w:sz w:val="18"/>
                <w:szCs w:val="18"/>
                <w:i w:val="1"/>
                <w:iCs w:val="1"/>
                <w:color w:val="auto"/>
              </w:rPr>
              <w:t>(included employee equity-settled share-based payment expenses of</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$19,213,164 (2021: $2,566,014))</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(58,528,531)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(21,889,982)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(18,448,268)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25,875,418</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financial assets at fair value through profit or loss</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(1,659,343)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Share-based payments on listing</w:t>
            </w:r>
            <w:r>
              <w:rPr>
                <w:rFonts w:ascii="Times New Roman" w:cs="Times New Roman" w:eastAsia="Times New Roman" w:hAnsi="Times New Roman"/>
                <w:sz w:val="25"/>
                <w:szCs w:val="25"/>
                <w:color w:val="auto"/>
                <w:vertAlign w:val="superscript"/>
              </w:rPr>
              <w:t>2</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(89,546,601)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convertible securities</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(29,054,669)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preference shares liabilities</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(60,091,353)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warrant liabilities</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(1,539,577)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(3,939,574)</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(422,356)</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(175,224,716)</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(3,601,607)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(1,938,375)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(4,258,869)</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(177,163,091)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(7,860,476)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period</w:t>
            </w: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may be reclassified subsequently to profit or loss: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 on translation of:</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financial statements of subsidiaries and a joint venture outside Hong Kong</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(4,775,936)</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(147,833)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for the period</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(181,939,027</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(8,008,309)</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attributable to:</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 shareholders of Prenetics</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(177,163,044)</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(7,855,358)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(5,118)</w:t>
            </w:r>
          </w:p>
        </w:tc>
      </w:tr>
      <w:tr>
        <w:trPr>
          <w:trHeight w:val="223"/>
        </w:trPr>
        <w:tc>
          <w:tcPr>
            <w:tcW w:w="86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(177,163,091</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(7,860,476)</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 shareholders of Prenetics</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(181,938,980)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(8,003,191)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(5,118)</w:t>
            </w:r>
          </w:p>
        </w:tc>
      </w:tr>
      <w:tr>
        <w:trPr>
          <w:trHeight w:val="223"/>
        </w:trPr>
        <w:tc>
          <w:tcPr>
            <w:tcW w:w="86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(181,939,027</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(8,008,309)</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jc w:val="both"/>
        <w:ind w:left="424" w:right="120" w:hanging="424"/>
        <w:spacing w:after="0" w:line="231" w:lineRule="auto"/>
        <w:tabs>
          <w:tab w:leader="none" w:pos="424"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acquisition of the net assets of Artisan Acquisition Corp. (“Artisan”) on May 18, 2022 does not meet the definition of a business under IFRS and has therefore been accounted for as a share-based payment. The excess of fair value of Prenetics shares issued over the fair value of Artisan’s identifiable net assets acquired represents compensation for the service of a stock exchange listing for its shares and is expensed as incurred.</w:t>
      </w:r>
    </w:p>
    <w:p>
      <w:pPr>
        <w:sectPr>
          <w:pgSz w:w="11900" w:h="16838" w:orient="portrait"/>
          <w:cols w:equalWidth="0" w:num="1">
            <w:col w:w="11024"/>
          </w:cols>
          <w:pgMar w:left="436" w:top="914"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7500"/>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470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b w:val="1"/>
                <w:bCs w:val="1"/>
                <w:i w:val="1"/>
                <w:iCs w:val="1"/>
                <w:color w:val="auto"/>
              </w:rPr>
              <w:t>For the six months ended</w:t>
            </w:r>
          </w:p>
        </w:tc>
      </w:tr>
      <w:tr>
        <w:trPr>
          <w:trHeight w:val="148"/>
        </w:trPr>
        <w:tc>
          <w:tcPr>
            <w:tcW w:w="6320" w:type="dxa"/>
            <w:vAlign w:val="bottom"/>
          </w:tcPr>
          <w:p>
            <w:pPr>
              <w:spacing w:after="0"/>
              <w:rPr>
                <w:sz w:val="12"/>
                <w:szCs w:val="12"/>
                <w:color w:val="auto"/>
              </w:rPr>
            </w:pPr>
          </w:p>
        </w:tc>
        <w:tc>
          <w:tcPr>
            <w:tcW w:w="372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r>
      <w:tr>
        <w:trPr>
          <w:trHeight w:val="151"/>
        </w:trPr>
        <w:tc>
          <w:tcPr>
            <w:tcW w:w="6320" w:type="dxa"/>
            <w:vAlign w:val="bottom"/>
          </w:tcPr>
          <w:p>
            <w:pPr>
              <w:spacing w:after="0"/>
              <w:rPr>
                <w:sz w:val="13"/>
                <w:szCs w:val="13"/>
                <w:color w:val="auto"/>
              </w:rPr>
            </w:pPr>
          </w:p>
        </w:tc>
        <w:tc>
          <w:tcPr>
            <w:tcW w:w="3720" w:type="dxa"/>
            <w:vAlign w:val="bottom"/>
          </w:tcPr>
          <w:p>
            <w:pPr>
              <w:jc w:val="right"/>
              <w:ind w:right="19"/>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9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73"/>
        </w:trPr>
        <w:tc>
          <w:tcPr>
            <w:tcW w:w="6320" w:type="dxa"/>
            <w:vAlign w:val="bottom"/>
          </w:tcPr>
          <w:p>
            <w:pPr>
              <w:spacing w:after="0"/>
              <w:rPr>
                <w:sz w:val="15"/>
                <w:szCs w:val="15"/>
                <w:color w:val="auto"/>
              </w:rPr>
            </w:pPr>
          </w:p>
        </w:tc>
        <w:tc>
          <w:tcPr>
            <w:tcW w:w="37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37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(3.57)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49,616,648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30,396,578</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7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49,616,648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30,396,578</w:t>
            </w:r>
          </w:p>
        </w:tc>
      </w:tr>
    </w:tbl>
    <w:p>
      <w:pPr>
        <w:sectPr>
          <w:pgSz w:w="11900" w:h="16838" w:orient="portrait"/>
          <w:cols w:equalWidth="0" w:num="1">
            <w:col w:w="11020"/>
          </w:cols>
          <w:pgMar w:left="440" w:top="914"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7500"/>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3440" w:type="dxa"/>
            <w:vAlign w:val="bottom"/>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w:t>
            </w:r>
          </w:p>
        </w:tc>
      </w:tr>
      <w:tr>
        <w:trPr>
          <w:trHeight w:val="148"/>
        </w:trPr>
        <w:tc>
          <w:tcPr>
            <w:tcW w:w="7580" w:type="dxa"/>
            <w:vAlign w:val="bottom"/>
          </w:tcPr>
          <w:p>
            <w:pPr>
              <w:spacing w:after="0"/>
              <w:rPr>
                <w:sz w:val="12"/>
                <w:szCs w:val="12"/>
                <w:color w:val="auto"/>
              </w:rPr>
            </w:pP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116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r>
      <w:tr>
        <w:trPr>
          <w:trHeight w:val="164"/>
        </w:trPr>
        <w:tc>
          <w:tcPr>
            <w:tcW w:w="75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0" w:type="dxa"/>
            <w:vAlign w:val="bottom"/>
          </w:tcPr>
          <w:p>
            <w:pPr>
              <w:spacing w:after="0"/>
              <w:rPr>
                <w:sz w:val="14"/>
                <w:szCs w:val="1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73"/>
        </w:trPr>
        <w:tc>
          <w:tcPr>
            <w:tcW w:w="75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51,716,268</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92,044,049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79,023,326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(30,021,343)</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(56,006,216)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(44,332,377)</w:t>
            </w:r>
          </w:p>
        </w:tc>
      </w:tr>
      <w:tr>
        <w:trPr>
          <w:trHeight w:val="27"/>
        </w:trPr>
        <w:tc>
          <w:tcPr>
            <w:tcW w:w="75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21,694,925</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36,037,833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34,690,949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other net losses</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(556,328)</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(29,011)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(74,125)</w:t>
            </w:r>
          </w:p>
        </w:tc>
      </w:tr>
      <w:tr>
        <w:trPr>
          <w:trHeight w:val="196"/>
        </w:trPr>
        <w:tc>
          <w:tcPr>
            <w:tcW w:w="75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Selling and distribution expenses </w:t>
            </w:r>
            <w:r>
              <w:rPr>
                <w:rFonts w:ascii="Times New Roman" w:cs="Times New Roman" w:eastAsia="Times New Roman" w:hAnsi="Times New Roman"/>
                <w:sz w:val="18"/>
                <w:szCs w:val="18"/>
                <w:i w:val="1"/>
                <w:iCs w:val="1"/>
                <w:color w:val="auto"/>
              </w:rPr>
              <w:t>(included employee equity-settled share-based payment expenses of</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$30,150 (March 31, 2022: $9,492; June 30, 2021: $4,316))</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(3,119,276)</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(5,283,146)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(3,928,747)</w:t>
            </w:r>
          </w:p>
        </w:tc>
      </w:tr>
      <w:tr>
        <w:trPr>
          <w:trHeight w:val="196"/>
        </w:trPr>
        <w:tc>
          <w:tcPr>
            <w:tcW w:w="7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Research and development expenses </w:t>
            </w:r>
            <w:r>
              <w:rPr>
                <w:rFonts w:ascii="Times New Roman" w:cs="Times New Roman" w:eastAsia="Times New Roman" w:hAnsi="Times New Roman"/>
                <w:sz w:val="18"/>
                <w:szCs w:val="18"/>
                <w:i w:val="1"/>
                <w:iCs w:val="1"/>
                <w:color w:val="auto"/>
              </w:rPr>
              <w:t>(included employee equity-settled share-based payment expenses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 $1,647,701 (March 31, 2022: $1,249,618; June 30, 2021: $791,495))</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(4,843,244)</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(3,821,490)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(1,640,316)</w:t>
            </w:r>
          </w:p>
        </w:tc>
      </w:tr>
      <w:tr>
        <w:trPr>
          <w:trHeight w:val="196"/>
        </w:trPr>
        <w:tc>
          <w:tcPr>
            <w:tcW w:w="75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Administrative and other operating expenses </w:t>
            </w:r>
            <w:r>
              <w:rPr>
                <w:rFonts w:ascii="Times New Roman" w:cs="Times New Roman" w:eastAsia="Times New Roman" w:hAnsi="Times New Roman"/>
                <w:sz w:val="18"/>
                <w:szCs w:val="18"/>
                <w:i w:val="1"/>
                <w:iCs w:val="1"/>
                <w:color w:val="auto"/>
              </w:rPr>
              <w:t>(included employee equity-settled share-based payment</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expenses in $11,316,433 (March 31, 2022: $7,896,731; June 30, 2021: $2,381,565))</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(31,073,684)</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(27,454,847)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(14,228,784)</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(17,897,607)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(550,661)</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14,818,977</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financial assets at fair value through profit or loss</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(1,659,343)</w:t>
            </w: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(89,546,601)</w:t>
            </w: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convertible securities</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(21,788,577)</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preference shares liabilities</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(31,815,352)</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(28,276,001)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warrant liabilities</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(1,539,577)</w:t>
            </w: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(1,447,778)</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(2,491,796)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(387,269)</w:t>
            </w:r>
          </w:p>
        </w:tc>
      </w:tr>
      <w:tr>
        <w:trPr>
          <w:trHeight w:val="27"/>
        </w:trPr>
        <w:tc>
          <w:tcPr>
            <w:tcW w:w="75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(143,906,258)</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(31,318,458)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(7,356,869)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(270,937)</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(1,667,438)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(2,418,181)</w:t>
            </w:r>
          </w:p>
        </w:tc>
      </w:tr>
      <w:tr>
        <w:trPr>
          <w:trHeight w:val="27"/>
        </w:trPr>
        <w:tc>
          <w:tcPr>
            <w:tcW w:w="75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(144,177,195)</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(32,985,896)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(9,775,050)</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period</w:t>
            </w: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may be reclassified subsequently to profit or loss: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 on translation of:</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financial statements of subsidiaries and a joint venture outside Hong Kong</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(4,245,198)</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(530,738)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(144,558)</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for the period</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(148,422,393</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(33,516,634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(9,919,608)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14"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7500"/>
                    </a:xfrm>
                    <a:prstGeom prst="rect">
                      <a:avLst/>
                    </a:prstGeom>
                    <a:noFill/>
                  </pic:spPr>
                </pic:pic>
              </a:graphicData>
            </a:graphic>
          </wp:anchor>
        </w:drawing>
        <w:t>PRENETICS GLOBAL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3360" w:type="dxa"/>
            <w:vAlign w:val="bottom"/>
            <w:gridSpan w:val="6"/>
          </w:tcPr>
          <w:p>
            <w:pPr>
              <w:jc w:val="right"/>
              <w:ind w:right="841"/>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w:t>
            </w:r>
          </w:p>
        </w:tc>
      </w:tr>
      <w:tr>
        <w:trPr>
          <w:trHeight w:val="150"/>
        </w:trPr>
        <w:tc>
          <w:tcPr>
            <w:tcW w:w="7660" w:type="dxa"/>
            <w:vAlign w:val="bottom"/>
          </w:tcPr>
          <w:p>
            <w:pPr>
              <w:spacing w:after="0"/>
              <w:rPr>
                <w:sz w:val="13"/>
                <w:szCs w:val="13"/>
                <w:color w:val="auto"/>
              </w:rPr>
            </w:pPr>
          </w:p>
        </w:tc>
        <w:tc>
          <w:tcPr>
            <w:tcW w:w="1240" w:type="dxa"/>
            <w:vAlign w:val="bottom"/>
            <w:gridSpan w:val="2"/>
          </w:tcPr>
          <w:p>
            <w:pPr>
              <w:jc w:val="right"/>
              <w:ind w:right="141"/>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1140" w:type="dxa"/>
            <w:vAlign w:val="bottom"/>
            <w:gridSpan w:val="2"/>
          </w:tcPr>
          <w:p>
            <w:pPr>
              <w:jc w:val="right"/>
              <w:ind w:right="141"/>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980" w:type="dxa"/>
            <w:vAlign w:val="bottom"/>
            <w:gridSpan w:val="2"/>
          </w:tcPr>
          <w:p>
            <w:pPr>
              <w:jc w:val="right"/>
              <w:ind w:right="41"/>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r>
      <w:tr>
        <w:trPr>
          <w:trHeight w:val="149"/>
        </w:trPr>
        <w:tc>
          <w:tcPr>
            <w:tcW w:w="7660" w:type="dxa"/>
            <w:vAlign w:val="bottom"/>
          </w:tcPr>
          <w:p>
            <w:pPr>
              <w:spacing w:after="0"/>
              <w:rPr>
                <w:sz w:val="12"/>
                <w:szCs w:val="12"/>
                <w:color w:val="auto"/>
              </w:rPr>
            </w:pPr>
          </w:p>
        </w:tc>
        <w:tc>
          <w:tcPr>
            <w:tcW w:w="12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gridSpan w:val="2"/>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7660" w:type="dxa"/>
            <w:vAlign w:val="bottom"/>
          </w:tcPr>
          <w:p>
            <w:pPr>
              <w:spacing w:after="0"/>
              <w:rPr>
                <w:sz w:val="15"/>
                <w:szCs w:val="15"/>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attributable to:</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Equity shareholders of Prenetics</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(144,177,194)</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(32,985,850)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(9,772,377)</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23"/>
        </w:trPr>
        <w:tc>
          <w:tcPr>
            <w:tcW w:w="76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(144,177,195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(32,985,896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(9,775,050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Equity shareholders of Prenetics</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(148,422,392)</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(33,516,588)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(9,916,935)</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23"/>
        </w:trPr>
        <w:tc>
          <w:tcPr>
            <w:tcW w:w="76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(148,422,393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(33,516,634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(9,919,608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(2.91)</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49,616,648</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31,207,949</w:t>
            </w: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30,396,578</w:t>
            </w: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49,616,648</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31,207,949</w:t>
            </w: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30,396,578</w:t>
            </w:r>
          </w:p>
        </w:tc>
      </w:tr>
    </w:tbl>
    <w:p>
      <w:pPr>
        <w:sectPr>
          <w:pgSz w:w="11900" w:h="16838" w:orient="portrait"/>
          <w:cols w:equalWidth="0" w:num="1">
            <w:col w:w="11020"/>
          </w:cols>
          <w:pgMar w:left="440" w:top="914"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31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7500"/>
                    </a:xfrm>
                    <a:prstGeom prst="rect">
                      <a:avLst/>
                    </a:prstGeom>
                    <a:noFill/>
                  </pic:spPr>
                </pic:pic>
              </a:graphicData>
            </a:graphic>
          </wp:anchor>
        </w:drawing>
        <w:t>PRENETICS GLOBAL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(Loss)/profit from Operations under IFRS and Adjusted EBITDA (Non-IFRS)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21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i w:val="1"/>
                <w:iCs w:val="1"/>
                <w:color w:val="auto"/>
              </w:rPr>
              <w:t>For the six months ended</w:t>
            </w:r>
          </w:p>
        </w:tc>
      </w:tr>
      <w:tr>
        <w:trPr>
          <w:trHeight w:val="148"/>
        </w:trPr>
        <w:tc>
          <w:tcPr>
            <w:tcW w:w="8900" w:type="dxa"/>
            <w:vAlign w:val="bottom"/>
          </w:tcPr>
          <w:p>
            <w:pPr>
              <w:spacing w:after="0"/>
              <w:rPr>
                <w:sz w:val="12"/>
                <w:szCs w:val="12"/>
                <w:color w:val="auto"/>
              </w:rPr>
            </w:pP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r>
      <w:tr>
        <w:trPr>
          <w:trHeight w:val="150"/>
        </w:trPr>
        <w:tc>
          <w:tcPr>
            <w:tcW w:w="8900" w:type="dxa"/>
            <w:vAlign w:val="bottom"/>
          </w:tcPr>
          <w:p>
            <w:pPr>
              <w:spacing w:after="0"/>
              <w:rPr>
                <w:sz w:val="13"/>
                <w:szCs w:val="13"/>
                <w:color w:val="auto"/>
              </w:rPr>
            </w:pPr>
          </w:p>
        </w:tc>
        <w:tc>
          <w:tcPr>
            <w:tcW w:w="94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73"/>
        </w:trPr>
        <w:tc>
          <w:tcPr>
            <w:tcW w:w="89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 under IFRS</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(18,448,268)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25,875,418</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Employee equity-settled share-based payment expenses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22,344,081</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3,537,228</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4,102,685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2,362,372</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strategic financing, transactional expense and non-recurring expenses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10,549,874</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1,195,386</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exchange gain or loss, net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703,368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(321,377)</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(Non-IFRS)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19,251,740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32,649,027</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9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0" w:type="dxa"/>
            <w:vAlign w:val="bottom"/>
          </w:tcPr>
          <w:p>
            <w:pPr>
              <w:spacing w:after="0"/>
              <w:rPr>
                <w:sz w:val="1"/>
                <w:szCs w:val="1"/>
                <w:color w:val="auto"/>
              </w:rPr>
            </w:pPr>
          </w:p>
        </w:tc>
      </w:tr>
      <w:tr>
        <w:trPr>
          <w:trHeight w:val="151"/>
        </w:trPr>
        <w:tc>
          <w:tcPr>
            <w:tcW w:w="7860" w:type="dxa"/>
            <w:vAlign w:val="bottom"/>
          </w:tcPr>
          <w:p>
            <w:pPr>
              <w:spacing w:after="0"/>
              <w:rPr>
                <w:sz w:val="13"/>
                <w:szCs w:val="13"/>
                <w:color w:val="auto"/>
              </w:rPr>
            </w:pPr>
          </w:p>
        </w:tc>
        <w:tc>
          <w:tcPr>
            <w:tcW w:w="1040" w:type="dxa"/>
            <w:vAlign w:val="bottom"/>
            <w:gridSpan w:val="3"/>
          </w:tcPr>
          <w:p>
            <w:pPr>
              <w:jc w:val="right"/>
              <w:ind w:right="10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20" w:type="dxa"/>
            <w:vAlign w:val="bottom"/>
          </w:tcPr>
          <w:p>
            <w:pPr>
              <w:spacing w:after="0"/>
              <w:rPr>
                <w:sz w:val="13"/>
                <w:szCs w:val="13"/>
                <w:color w:val="auto"/>
              </w:rPr>
            </w:pPr>
          </w:p>
        </w:tc>
        <w:tc>
          <w:tcPr>
            <w:tcW w:w="9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60" w:type="dxa"/>
            <w:vAlign w:val="bottom"/>
          </w:tcPr>
          <w:p>
            <w:pPr>
              <w:spacing w:after="0"/>
              <w:rPr>
                <w:sz w:val="13"/>
                <w:szCs w:val="13"/>
                <w:color w:val="auto"/>
              </w:rPr>
            </w:pPr>
          </w:p>
        </w:tc>
        <w:tc>
          <w:tcPr>
            <w:tcW w:w="9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 under IFRS</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(17,897,607)</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(550,661)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14,818,977</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Employee equity-settled share-based payment expenses</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12,966,966</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9,377,115</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3,290,531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1,947,390</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2,155,295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1,234,547</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strategic financing, transactional expense and non-recurring expenses</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8,854,689</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1,695,185</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692,702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exchange gain or loss, net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671,596</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75,958</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(Non-IFRS)</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6,543,034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12,708,706</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20,112,715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Gross Profit under IFRS and Adjusted Gross Profit (Non-IFRS)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For the six months ended</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9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0" w:type="dxa"/>
            <w:vAlign w:val="bottom"/>
          </w:tcPr>
          <w:p>
            <w:pPr>
              <w:spacing w:after="0"/>
              <w:rPr>
                <w:sz w:val="1"/>
                <w:szCs w:val="1"/>
                <w:color w:val="auto"/>
              </w:rPr>
            </w:pPr>
          </w:p>
        </w:tc>
      </w:tr>
      <w:tr>
        <w:trPr>
          <w:trHeight w:val="150"/>
        </w:trPr>
        <w:tc>
          <w:tcPr>
            <w:tcW w:w="7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9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under IFRS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57,732,758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56,626,091</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863,103</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(Non-IFRS)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58,595,861</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57,074,532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9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0" w:type="dxa"/>
            <w:vAlign w:val="bottom"/>
          </w:tcPr>
          <w:p>
            <w:pPr>
              <w:spacing w:after="0"/>
              <w:rPr>
                <w:sz w:val="1"/>
                <w:szCs w:val="1"/>
                <w:color w:val="auto"/>
              </w:rPr>
            </w:pPr>
          </w:p>
        </w:tc>
      </w:tr>
      <w:tr>
        <w:trPr>
          <w:trHeight w:val="150"/>
        </w:trPr>
        <w:tc>
          <w:tcPr>
            <w:tcW w:w="7860" w:type="dxa"/>
            <w:vAlign w:val="bottom"/>
          </w:tcPr>
          <w:p>
            <w:pPr>
              <w:spacing w:after="0"/>
              <w:rPr>
                <w:sz w:val="13"/>
                <w:szCs w:val="13"/>
                <w:color w:val="auto"/>
              </w:rPr>
            </w:pPr>
          </w:p>
        </w:tc>
        <w:tc>
          <w:tcPr>
            <w:tcW w:w="1160" w:type="dxa"/>
            <w:vAlign w:val="bottom"/>
            <w:gridSpan w:val="4"/>
          </w:tcPr>
          <w:p>
            <w:pPr>
              <w:jc w:val="right"/>
              <w:ind w:right="1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08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9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under IFRS</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21,694,925</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36,037,833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34,690,949</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445,484</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417,619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243,049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(Non-IFRS)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22,140,409</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36,455,452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34,933,998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14" w:right="4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17500"/>
                    </a:xfrm>
                    <a:prstGeom prst="rect">
                      <a:avLst/>
                    </a:prstGeom>
                    <a:noFill/>
                  </pic:spPr>
                </pic:pic>
              </a:graphicData>
            </a:graphic>
          </wp:anchor>
        </w:drawing>
        <w:t>PRENETICS GLOBAL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attributable to equity shareholders of Prenetics under IFRS and Adjusted profit for the period (Non-IFRS)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i w:val="1"/>
                <w:iCs w:val="1"/>
                <w:color w:val="auto"/>
              </w:rPr>
              <w:t>For the six months ended</w:t>
            </w:r>
          </w:p>
        </w:tc>
      </w:tr>
      <w:tr>
        <w:trPr>
          <w:trHeight w:val="148"/>
        </w:trPr>
        <w:tc>
          <w:tcPr>
            <w:tcW w:w="7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r>
      <w:tr>
        <w:trPr>
          <w:trHeight w:val="150"/>
        </w:trPr>
        <w:tc>
          <w:tcPr>
            <w:tcW w:w="7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220" w:type="dxa"/>
            <w:vAlign w:val="bottom"/>
          </w:tcPr>
          <w:p>
            <w:pPr>
              <w:spacing w:after="0"/>
              <w:rPr>
                <w:sz w:val="13"/>
                <w:szCs w:val="13"/>
                <w:color w:val="auto"/>
              </w:rPr>
            </w:pPr>
          </w:p>
        </w:tc>
        <w:tc>
          <w:tcPr>
            <w:tcW w:w="98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87"/>
        </w:trPr>
        <w:tc>
          <w:tcPr>
            <w:tcW w:w="7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attributable to equity shareholders of Prenetics under IFRS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(177,163,044)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(7,855,358)</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Employee equity-settled share-based payment expenses</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22,344,081</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3,537,228</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strategic financing, transactional expense and non-recurring expenses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10,549,874</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1,195,386</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89,546,601</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convertible securities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29,054,669</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preference shares liabilities</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60,091,353</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warrant liabilities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1,539,577</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financial assets at fair value through profit or loss</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1,659,343</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profit for the period (Non-IFRS)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8,567,785</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25,931, 925</w:t>
            </w:r>
          </w:p>
        </w:tc>
      </w:tr>
      <w:tr>
        <w:trPr>
          <w:trHeight w:val="20"/>
        </w:trPr>
        <w:tc>
          <w:tcPr>
            <w:tcW w:w="7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7660" w:type="dxa"/>
            <w:vAlign w:val="bottom"/>
          </w:tcPr>
          <w:p>
            <w:pPr>
              <w:spacing w:after="0"/>
              <w:rPr>
                <w:sz w:val="24"/>
                <w:szCs w:val="24"/>
                <w:color w:val="auto"/>
              </w:rPr>
            </w:pPr>
          </w:p>
        </w:tc>
        <w:tc>
          <w:tcPr>
            <w:tcW w:w="3360" w:type="dxa"/>
            <w:vAlign w:val="bottom"/>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w:t>
            </w:r>
          </w:p>
        </w:tc>
      </w:tr>
      <w:tr>
        <w:trPr>
          <w:trHeight w:val="148"/>
        </w:trPr>
        <w:tc>
          <w:tcPr>
            <w:tcW w:w="766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c>
          <w:tcPr>
            <w:tcW w:w="160" w:type="dxa"/>
            <w:vAlign w:val="bottom"/>
          </w:tcPr>
          <w:p>
            <w:pPr>
              <w:spacing w:after="0"/>
              <w:rPr>
                <w:sz w:val="12"/>
                <w:szCs w:val="12"/>
                <w:color w:val="auto"/>
              </w:rPr>
            </w:pPr>
          </w:p>
        </w:tc>
        <w:tc>
          <w:tcPr>
            <w:tcW w:w="11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June 30,</w:t>
            </w:r>
          </w:p>
        </w:tc>
      </w:tr>
      <w:tr>
        <w:trPr>
          <w:trHeight w:val="150"/>
        </w:trPr>
        <w:tc>
          <w:tcPr>
            <w:tcW w:w="7660" w:type="dxa"/>
            <w:vAlign w:val="bottom"/>
          </w:tcPr>
          <w:p>
            <w:pPr>
              <w:spacing w:after="0"/>
              <w:rPr>
                <w:sz w:val="13"/>
                <w:szCs w:val="13"/>
                <w:color w:val="auto"/>
              </w:rPr>
            </w:pPr>
          </w:p>
        </w:tc>
        <w:tc>
          <w:tcPr>
            <w:tcW w:w="108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300" w:type="dxa"/>
            <w:vAlign w:val="bottom"/>
            <w:gridSpan w:val="4"/>
          </w:tcPr>
          <w:p>
            <w:pPr>
              <w:jc w:val="right"/>
              <w:ind w:right="2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98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b w:val="1"/>
                <w:bCs w:val="1"/>
                <w:i w:val="1"/>
                <w:iCs w:val="1"/>
                <w:color w:val="auto"/>
              </w:rPr>
              <w:t>2021</w:t>
            </w:r>
          </w:p>
        </w:tc>
      </w:tr>
      <w:tr>
        <w:trPr>
          <w:trHeight w:val="187"/>
        </w:trPr>
        <w:tc>
          <w:tcPr>
            <w:tcW w:w="76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attributable to equity shareholders of Prenetics under IFRS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(144,177,194)</w:t>
            </w:r>
          </w:p>
        </w:tc>
        <w:tc>
          <w:tcPr>
            <w:tcW w:w="13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(32,985,850)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(9,772,377)</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Employee equity-settled share-based payment expenses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12,966,966</w:t>
            </w: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9,377,115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3,290,531</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strategic financing, transactional expense and non-recurring expenses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8,854,689</w:t>
            </w:r>
          </w:p>
        </w:tc>
        <w:tc>
          <w:tcPr>
            <w:tcW w:w="13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1,695,185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692,702</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on listing</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89,546,601</w:t>
            </w:r>
          </w:p>
        </w:tc>
        <w:tc>
          <w:tcPr>
            <w:tcW w:w="16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convertible securities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21,788,577</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preference shares liabilities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31,815,352</w:t>
            </w: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28,276,001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warrant liabilities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1,539,577</w:t>
            </w: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financial assets at fair value through profit or loss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profit for the period (Non-IFRS)</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2,205,334</w:t>
            </w:r>
          </w:p>
        </w:tc>
        <w:tc>
          <w:tcPr>
            <w:tcW w:w="13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6,362,451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15,999,433</w:t>
            </w: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91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2022-09-09T15:46:21Z</dcterms:created>
  <dcterms:modified xsi:type="dcterms:W3CDTF">2022-09-09T15:46:21Z</dcterms:modified>
</cp:coreProperties>
</file>