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DISCLOSURE OF RESULTS OF OPERATIONS</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Prenetics Global Limited hereby furnishes the press release announcing its unaudited financial results for the fourth quarter and full year 2025, which is attached as Exhibit 99.1 to this Report on Form 6-K (this "Report").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Report, along with Exhibit 99.1, is incorporated by reference into the registration statements on Form F-3 (File Nos. 333-274762, 333-276538 and 333-288824) and Form S-8 (File Nos. 333-287017, 333-279019, 333-271552 and 333-267956) of Prenetics Global Limited (including any prospectuses forming a part of such registration statements), including all amendments thereto, filed with the Commission,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2"/>
          </w:tcPr>
          <w:p>
            <w:pPr>
              <w:ind w:left="3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2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 Prenetics Announces Fourth Quarter and Full Year 2025 Financial Results</w:t>
            </w:r>
          </w:p>
        </w:tc>
        <w:tc>
          <w:tcPr>
            <w:tcW w:w="2540" w:type="dxa"/>
            <w:vAlign w:val="bottom"/>
            <w:tcBorders>
              <w:top w:val="single" w:sz="8" w:color="auto"/>
            </w:tcBorders>
          </w:tcPr>
          <w:p>
            <w:pPr>
              <w:spacing w:after="0"/>
              <w:rPr>
                <w:sz w:val="16"/>
                <w:szCs w:val="16"/>
                <w:color w:val="auto"/>
              </w:rPr>
            </w:pPr>
          </w:p>
        </w:tc>
      </w:tr>
    </w:tbl>
    <w:p>
      <w:pPr>
        <w:sectPr>
          <w:pgSz w:w="11900" w:h="16838" w:orient="portrait"/>
          <w:cols w:equalWidth="0" w:num="1">
            <w:col w:w="11240"/>
          </w:cols>
          <w:pgMar w:left="320" w:top="13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18, 2026</w:t>
      </w:r>
    </w:p>
    <w:p>
      <w:pPr>
        <w:sectPr>
          <w:pgSz w:w="11900" w:h="16838" w:orient="portrait"/>
          <w:cols w:equalWidth="0" w:num="1">
            <w:col w:w="11240"/>
          </w:cols>
          <w:pgMar w:left="320" w:top="1400" w:right="339" w:bottom="1440" w:gutter="0" w:footer="0" w:header="0"/>
        </w:sectPr>
      </w:pPr>
    </w:p>
    <w:bookmarkStart w:id="3" w:name="page4"/>
    <w:bookmarkEnd w:id="3"/>
    <w:p>
      <w:pPr>
        <w:jc w:val="center"/>
        <w:ind w:left="340" w:right="80"/>
        <w:spacing w:after="0" w:line="227" w:lineRule="auto"/>
        <w:rPr>
          <w:sz w:val="20"/>
          <w:szCs w:val="20"/>
          <w:color w:val="auto"/>
        </w:rPr>
      </w:pPr>
      <w:r>
        <w:rPr>
          <w:rFonts w:ascii="Times New Roman" w:cs="Times New Roman" w:eastAsia="Times New Roman" w:hAnsi="Times New Roman"/>
          <w:sz w:val="25"/>
          <w:szCs w:val="25"/>
          <w:b w:val="1"/>
          <w:bCs w:val="1"/>
          <w:color w:val="auto"/>
        </w:rPr>
        <w:t>Prenetics Reports Record Q4 and FY 2025 Results: IM8 Achieves $120M ARR</w:t>
      </w:r>
      <w:r>
        <w:rPr>
          <w:rFonts w:ascii="Times New Roman" w:cs="Times New Roman" w:eastAsia="Times New Roman" w:hAnsi="Times New Roman"/>
          <w:sz w:val="32"/>
          <w:szCs w:val="32"/>
          <w:b w:val="1"/>
          <w:bCs w:val="1"/>
          <w:color w:val="auto"/>
          <w:vertAlign w:val="superscript"/>
        </w:rPr>
        <w:t>1</w:t>
      </w:r>
      <w:r>
        <w:rPr>
          <w:rFonts w:ascii="Times New Roman" w:cs="Times New Roman" w:eastAsia="Times New Roman" w:hAnsi="Times New Roman"/>
          <w:sz w:val="25"/>
          <w:szCs w:val="25"/>
          <w:b w:val="1"/>
          <w:bCs w:val="1"/>
          <w:color w:val="auto"/>
        </w:rPr>
        <w:t xml:space="preserve"> in 12 Months, Revenue Surges 480% YoY</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Revenue Increased 480% to $92.4 million for Full Year 2025, Q4 Revenue reached $36.6 million</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IM8 Reaches $10 Million in Monthly Revenue in December 2025, Achieving $120M ARR Milestone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Transformation Completed with Divestitures and Focus on IM8</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line="197"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Adjusted Liquidity</w:t>
      </w: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 xml:space="preserve"> of Approximately $171 Million Following Sale of Insighta Stake to Tencent, with Zero Debt</w:t>
      </w: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 to Host Earnings Call on February 18, 2026, at 10:00 a.m. ET and latest investor deck can be found at https://ir.prenetics.com</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NEW YORK, N.Y., February 18, 2026 </w:t>
      </w:r>
      <w:r>
        <w:rPr>
          <w:rFonts w:ascii="Times New Roman" w:cs="Times New Roman" w:eastAsia="Times New Roman" w:hAnsi="Times New Roman"/>
          <w:sz w:val="16"/>
          <w:szCs w:val="16"/>
          <w:color w:val="auto"/>
        </w:rPr>
        <w:t>– Prenetics Global Limited (NASDAQ: PRE) ("Prenetics" or the "Company"), a leading consumer health sciences company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parent of the IM8 premium health and longevity brand, today announced financial results for fourth quarter and full year ended December 31, 2025.</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year 2025 marked a transformational milestone for Prenetics. Driven by the breakout performance of IM8, the Company delivered record financial results while completing a strategic transformation to streamline operations and focus on IM8. During the year and into 2026, Prenetics divested ACT Genomics in a transaction valued at up to approximately $72 million in cash (of which approximately $46 million are gross proceeds to Prenetics), sold the Europa distribution business for up to $13 million in all-stock consideration, and recently announced the sale of Prenetics’ stake in Insighta to Tencent for $70 million in cash. These actions strengthened the balance sheet to approximately $171 million in total adjusted liquidity as of February 15, 2026, simplified the operating structure, and positioned the Company for accelerated global growth.</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Full-year revenue surged approximately 480% year-over-year to $92.4 million. Fourth quarter revenue reached $36.6 million, representing a 55% quarter-over-quarter increase, reflecting the extraordinary momentum of IM8, the Company’s flagship consumer health brand co-founded with David Beckham. IM8 achieved ARR of approximately $120 million as of December 2025 within just 12 months of launch, and contributed $60.1 million in revenue for FY2025.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IM8: A Breakout Global Brand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IM8 was the clear growth engine of Prenetics in 2025, demonstrating exceptional product-market fit, premium positioning, and strong customer loyalty.</w:t>
      </w:r>
    </w:p>
    <w:p>
      <w:pPr>
        <w:spacing w:after="0" w:line="2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From the end of Q3 to the end of Q4, IM8 monthly revenue grew by approximately 51%, reaching $10.0 million in December 2025 and officially surpassing $120 million in ARR—demonstrating one of the fastest trajectories ever recorded in the global supplement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7" w:lineRule="exact"/>
        <w:rPr>
          <w:sz w:val="20"/>
          <w:szCs w:val="20"/>
          <w:color w:val="auto"/>
        </w:rPr>
      </w:pPr>
    </w:p>
    <w:p>
      <w:pPr>
        <w:ind w:firstLine="8"/>
        <w:spacing w:after="0"/>
        <w:tabs>
          <w:tab w:leader="none" w:pos="84"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“ARR” refers to annualized recurring revenue, which the Company uses as a key operating metric and is calculated by multiplying the monthly revenue from the last month of a given period by 12.</w:t>
      </w:r>
    </w:p>
    <w:p>
      <w:pPr>
        <w:spacing w:after="0" w:line="121" w:lineRule="exact"/>
        <w:rPr>
          <w:rFonts w:ascii="Times New Roman" w:cs="Times New Roman" w:eastAsia="Times New Roman" w:hAnsi="Times New Roman"/>
          <w:sz w:val="19"/>
          <w:szCs w:val="19"/>
          <w:color w:val="auto"/>
          <w:vertAlign w:val="superscript"/>
        </w:rPr>
      </w:pPr>
    </w:p>
    <w:p>
      <w:pPr>
        <w:jc w:val="both"/>
        <w:spacing w:after="0" w:line="22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Adjusted liquidity is a non-IFRS financial measure, comprising: cash and cash equivalents of $99.3 million, financial assets at fair value through profit or loss (primarily comprising of fixed income funds) of approximately $29.3 million based on the most recent available valuation and subject to finalization as part of the ongoing annual audit, digital asset holdings valued at approximately $35.2 million, and portions of gross proceeds of the ACT Genomics sale and Insighta sale transactions held in escrow pending fulfillment of customary release conditions of $6.3 million and $1.0 million, respectively. Refer to the section titled “Unaudited Non-IFRS Financial Measures” elsewhere in this document.</w:t>
      </w:r>
    </w:p>
    <w:p>
      <w:pPr>
        <w:sectPr>
          <w:pgSz w:w="11900" w:h="16838" w:orient="portrait"/>
          <w:cols w:equalWidth="0" w:num="1">
            <w:col w:w="11240"/>
          </w:cols>
          <w:pgMar w:left="320" w:top="138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IM8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Key Performance Indicators</w:t>
            </w:r>
          </w:p>
        </w:tc>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89"/>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2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8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Growth</w:t>
            </w: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Monthly Revenue (End of Period)</w:t>
            </w:r>
          </w:p>
        </w:tc>
        <w:tc>
          <w:tcPr>
            <w:tcW w:w="27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$10.0 million</w:t>
            </w:r>
          </w:p>
        </w:tc>
        <w:tc>
          <w:tcPr>
            <w:tcW w:w="18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$6.6 million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Quarterly Revenue</w:t>
            </w:r>
          </w:p>
        </w:tc>
        <w:tc>
          <w:tcPr>
            <w:tcW w:w="27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$27.4 million</w:t>
            </w:r>
          </w:p>
        </w:tc>
        <w:tc>
          <w:tcPr>
            <w:tcW w:w="18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$17.2 million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Orders</w:t>
            </w:r>
          </w:p>
        </w:tc>
        <w:tc>
          <w:tcPr>
            <w:tcW w:w="27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230,000+</w:t>
            </w:r>
          </w:p>
        </w:tc>
        <w:tc>
          <w:tcPr>
            <w:tcW w:w="18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170,000+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Servings Delivered</w:t>
            </w:r>
          </w:p>
        </w:tc>
        <w:tc>
          <w:tcPr>
            <w:tcW w:w="27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6.9 million+</w:t>
            </w:r>
          </w:p>
        </w:tc>
        <w:tc>
          <w:tcPr>
            <w:tcW w:w="18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5.0 million+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Order Value (End of Period)</w:t>
            </w:r>
          </w:p>
        </w:tc>
        <w:tc>
          <w:tcPr>
            <w:tcW w:w="27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$133</w:t>
            </w:r>
          </w:p>
        </w:tc>
        <w:tc>
          <w:tcPr>
            <w:tcW w:w="18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$102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Customer Subscription Rate</w:t>
            </w:r>
          </w:p>
        </w:tc>
        <w:tc>
          <w:tcPr>
            <w:tcW w:w="27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~80%</w:t>
            </w:r>
          </w:p>
        </w:tc>
        <w:tc>
          <w:tcPr>
            <w:tcW w:w="18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~80%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Maintained</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7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~62%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Payback Period</w:t>
            </w:r>
          </w:p>
        </w:tc>
        <w:tc>
          <w:tcPr>
            <w:tcW w:w="27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3.5 months</w:t>
            </w:r>
          </w:p>
        </w:tc>
        <w:tc>
          <w:tcPr>
            <w:tcW w:w="18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3.9 months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months</w:t>
            </w:r>
          </w:p>
        </w:tc>
      </w:tr>
    </w:tbl>
    <w:p>
      <w:pPr>
        <w:spacing w:after="0" w:line="3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Gross margin for IM8 reduced to 60% in Q4 from 62% in Q3, impacted by freight and logistics costs due to the holiday period and higher costs associated with an increasing portion of international sales. The Company is targeting to maintain IM8 gross margins at approximately 60% in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Payback period for IM8 reduced to 3.5 months in Q4 from 3.9 months in Q3, primarily attributable to the introduction of quarterly subscription option starting in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 in December 2025, which was then further rolled out across all of our international markets in January 2026.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Diversification of IM8 Revenue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IM8’s growth in 2025 was highly diversified across geographies, demonstrating strong global product-market fit and achieving $60.1 million in revenue for FY2025.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Top Five IM8 Markets (FY2025):</w:t>
      </w:r>
    </w:p>
    <w:p>
      <w:pPr>
        <w:spacing w:after="0" w:line="25"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States: $23.8M (39.7%)</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Canada: $8.8M (14.7%)</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Kingdom: $7.7M (12.8%)</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Australia: $3.2M (5.3%)</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Singapore: $2.4M (4.0%)</w:t>
      </w:r>
    </w:p>
    <w:p>
      <w:pPr>
        <w:spacing w:after="0" w:line="23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IM8 shipped to 30+ countries during the year, with over 60% of revenue generated outside the United States. This international momentum provides a strong foundation for continued global expansion in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FY2025 Unit Economics: A Capital-Efficient Growth Engine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its first full fiscal year of operations, IM8 established a highly efficient and scalable operating model:</w:t>
      </w:r>
    </w:p>
    <w:p>
      <w:pPr>
        <w:spacing w:after="0" w:line="2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Blended average order value: ~$110</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Payback period: ~3.4 months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Day-1 CAC recovery: ~55%</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24-month LTV:CAC ratio: ~3x</w:t>
      </w: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These metrics reflect IM8’s ability to rapidly recycle marketing capital while maintaining strong long-term customer value. Based on current cohort performance and modeled retention trends, IM8 is projected to achieve LTV:CAC ratios above 3x across its product portfolio, including premium offerings such as the Beckham Stack.</w:t>
      </w:r>
    </w:p>
    <w:p>
      <w:pPr>
        <w:sectPr>
          <w:pgSz w:w="11900" w:h="16838" w:orient="portrait"/>
          <w:cols w:equalWidth="0" w:num="1">
            <w:col w:w="11240"/>
          </w:cols>
          <w:pgMar w:left="320" w:top="14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 xml:space="preserve">Strategic Evolution to Quarterly Subscriptions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Driving Step-Change in Average Order Value</w:t>
      </w:r>
    </w:p>
    <w:p>
      <w:pPr>
        <w:spacing w:after="0" w:line="25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 January 2026, IM8 deliberately began driving a growing portion of new customers from monthly to quarterly subscription plans. This strategy is designed to enhance cash flow, improve logistics efficiency, and increase long-term customer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impact of this transition has been substantial:</w:t>
      </w:r>
    </w:p>
    <w:p>
      <w:pPr>
        <w:spacing w:after="0" w:line="2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FY2025 blended average order value: ~$110</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Q4 2025 blended average order value: ~$133</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January and February 2026 blended new average order value: ~$233</w:t>
      </w:r>
    </w:p>
    <w:p>
      <w:pPr>
        <w:spacing w:after="0" w:line="2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This step-change in blended average order value reflects both the shift toward quarterly prepayments and increased adoption of higher-value product bundles such as the Beckham Stack.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Quarterly Subscription Mix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January and February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Quarterly plans now represent a meaningful and growing portion of new customer mix across the IM8 product portfolio:</w:t>
      </w:r>
    </w:p>
    <w:p>
      <w:pPr>
        <w:spacing w:after="0" w:line="23"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half of Beckham Stack customers are choosing quarterly subscriptions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than one-third of Essentials customers are opting for quarterly plans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quarterly plans continues to accelerate across all SKUs, including Longevity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benefits of the quarterly model include:</w:t>
      </w:r>
    </w:p>
    <w:p>
      <w:pPr>
        <w:spacing w:after="0" w:line="2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upfront revenue and average order value: Customers prepay for three months at a time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Improved cash recycling: Faster payback and reduced working-capital needs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fulfillment costs: Improved per-unit logistics economics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Predictable renewals: Auto-renewing every three months</w:t>
      </w:r>
    </w:p>
    <w:p>
      <w:pPr>
        <w:spacing w:after="0" w:line="23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views the resulting increase in blended customer acquisition cost from a position of strength, as reflective of the Company’s deliberate acquisition of higher-quality and longer-duration subscribers with materially higher lifetime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Strengthening the IM8 Ecosystem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Global Sports Partnerships</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Building on the foundation of IM8 as a brand co-founded with David Beckham, Prenetics significantly expanded IM8’s presence across global sports and performance communities in 2025 and early 2026.</w:t>
      </w:r>
    </w:p>
    <w:p>
      <w:pPr>
        <w:spacing w:after="0" w:line="19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June 2025, Prenetics welcomed Aryna Sabalenka, World No. 1 tennis player and 4x Grand Slam champion, as a global ambassador and shareholder. Her involvement has accelerated IM8’s brand awareness and credibility among elite athletes and health-conscious consumers worldwide.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February 2026, the Company further strengthened this momentum by announcing Ollie Bearman, Formula 1 driver and one of the sport’s most exciting rising stars, as a global ambassador and shareholder of Prenetics. His partnership reinforces IM8’s positioning as a premium performance and recovery brand trusted at the highest levels of global sport.</w:t>
      </w:r>
    </w:p>
    <w:p>
      <w:pPr>
        <w:sectPr>
          <w:pgSz w:w="11900" w:h="16838" w:orient="portrait"/>
          <w:cols w:equalWidth="0" w:num="1">
            <w:col w:w="11240"/>
          </w:cols>
          <w:pgMar w:left="320" w:top="14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Strategic Transformation into an IM8-Focused Platform</w:t>
      </w:r>
    </w:p>
    <w:p>
      <w:pPr>
        <w:spacing w:after="0" w:line="25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Throughout 2025 and into early 2026, Prenetics executed a deliberate strategy to streamline operations, strengthen the balance sheet, and focus the organization’s resources on IM8 as its core growth engine.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milestones in this transformation included:</w:t>
      </w:r>
    </w:p>
    <w:p>
      <w:pPr>
        <w:spacing w:after="0" w:line="26" w:lineRule="exact"/>
        <w:rPr>
          <w:sz w:val="20"/>
          <w:szCs w:val="20"/>
          <w:color w:val="auto"/>
        </w:rPr>
      </w:pPr>
    </w:p>
    <w:p>
      <w:pPr>
        <w:ind w:left="660" w:hanging="328"/>
        <w:spacing w:after="0" w:line="25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divestiture of ACT Genomics for up to approximately $72 million in cash (of which approximately $46 million are gross proceeds to Prenetics), reducing operational complexity and sharpening strategic focus</w:t>
      </w: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the Europa business for up to $13 million in stock, completed in January 2026</w:t>
      </w:r>
    </w:p>
    <w:p>
      <w:pPr>
        <w:spacing w:after="0" w:line="5" w:lineRule="exact"/>
        <w:rPr>
          <w:rFonts w:ascii="Times New Roman" w:cs="Times New Roman" w:eastAsia="Times New Roman" w:hAnsi="Times New Roman"/>
          <w:sz w:val="16"/>
          <w:szCs w:val="16"/>
          <w:color w:val="auto"/>
        </w:rPr>
      </w:pPr>
    </w:p>
    <w:p>
      <w:pPr>
        <w:ind w:left="660" w:right="320" w:hanging="328"/>
        <w:spacing w:after="0" w:line="239"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transformation was the sale of the Company’s 35% equity interest in Insighta to Tencent for $70 million in cash, increasing total adjusted liquidity to approximately $171.1 million as of February 15, 2026. The below table provides a breakdown of our total adjusted liquidity as of February 15, 2026.</w:t>
      </w:r>
    </w:p>
    <w:p>
      <w:pPr>
        <w:spacing w:after="0" w:line="275"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 Type</w:t>
            </w:r>
          </w:p>
        </w:tc>
        <w:tc>
          <w:tcPr>
            <w:tcW w:w="35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Balance (in million)</w:t>
            </w:r>
          </w:p>
        </w:tc>
        <w:tc>
          <w:tcPr>
            <w:tcW w:w="520" w:type="dxa"/>
            <w:vAlign w:val="bottom"/>
          </w:tcPr>
          <w:p>
            <w:pPr>
              <w:spacing w:after="0"/>
              <w:rPr>
                <w:sz w:val="18"/>
                <w:szCs w:val="18"/>
                <w:color w:val="auto"/>
              </w:rPr>
            </w:pPr>
          </w:p>
        </w:tc>
      </w:tr>
      <w:tr>
        <w:trPr>
          <w:trHeight w:val="21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52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6"/>
        </w:trPr>
        <w:tc>
          <w:tcPr>
            <w:tcW w:w="5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Financial assets at fair value through profit or loss</w:t>
            </w:r>
            <w:r>
              <w:rPr>
                <w:rFonts w:ascii="Times New Roman" w:cs="Times New Roman" w:eastAsia="Times New Roman" w:hAnsi="Times New Roman"/>
                <w:sz w:val="21"/>
                <w:szCs w:val="21"/>
                <w:color w:val="auto"/>
                <w:vertAlign w:val="superscript"/>
              </w:rPr>
              <w:t>#</w:t>
            </w:r>
          </w:p>
        </w:tc>
        <w:tc>
          <w:tcPr>
            <w:tcW w:w="35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 escrow</w:t>
            </w:r>
          </w:p>
        </w:tc>
        <w:tc>
          <w:tcPr>
            <w:tcW w:w="352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Insighta escrow</w:t>
            </w:r>
          </w:p>
        </w:tc>
        <w:tc>
          <w:tcPr>
            <w:tcW w:w="35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135.9</w:t>
            </w:r>
          </w:p>
        </w:tc>
      </w:tr>
      <w:tr>
        <w:trPr>
          <w:trHeight w:val="213"/>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Digital asset</w:t>
            </w:r>
          </w:p>
        </w:tc>
        <w:tc>
          <w:tcPr>
            <w:tcW w:w="8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37"/>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adjusted liquidity</w:t>
            </w: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740" w:hanging="84"/>
        <w:spacing w:after="0"/>
        <w:tabs>
          <w:tab w:leader="none" w:pos="7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most recent available valuation and subject to finalization in the ongoing annual audit</w:t>
      </w:r>
    </w:p>
    <w:p>
      <w:pPr>
        <w:spacing w:after="0" w:line="2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These actions have transformed Prenetics into a focused, higher-margin, and operationally agile organization centered around IM8, while maintaining CircleDNA as a complementary consumer health asset.</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Danny Yeung, Chief Executive Officer and Co-Founder, commented: </w:t>
      </w:r>
      <w:r>
        <w:rPr>
          <w:rFonts w:ascii="Times New Roman" w:cs="Times New Roman" w:eastAsia="Times New Roman" w:hAnsi="Times New Roman"/>
          <w:sz w:val="16"/>
          <w:szCs w:val="16"/>
          <w:color w:val="auto"/>
        </w:rPr>
        <w:t>“2025 was a defining year for Prenetics—one in which we proved both the strength and scalability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IM8’s business model. In just twelve months, IM8 reached $120 million in annualized recurring revenue, an achievement that is virtually unprecedented in consumer health. This performance was powered by strong unit economics, a rapidly expanding global footprint, and deep customer engagement.</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transition towards quarterly subscriptions has delivered a meaningful acceleration in performance, with new blended average order value reaching approximately $233 in 2026. This strategy strengthens cash flow, enhances customer lifetime value, and supports efficient scaling.</w:t>
      </w:r>
    </w:p>
    <w:p>
      <w:pPr>
        <w:spacing w:after="0" w:line="19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Importantly, we expect to approximately triple IM8 revenue in 2026 compared to 2025, while targeting an adjusted EBITDA loss broadly similar to 2024 and 2025. This demonstrates the operating leverage inherent in our model, and we see a clear path to achieving adjusted EBITDA profitability by the fourth quarter of 2027.</w:t>
      </w:r>
    </w:p>
    <w:p>
      <w:pPr>
        <w:spacing w:after="0" w:line="17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With the completed sale of our Insighta stake to Tencent, our total adjusted liquidity stands at approximately $171 million as of February 15, 2026, with zero debt. This provides substantial financial capacity to invest in IM8’s next phase of global growth.</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confidently reaffirming our 2026 IM8 revenue guidance of $180 million to $200 million, with a path toward $250 million to $300 million in ARR by the end of 2026. IM8 is rapidly becoming a global, category-defining health brand—and this is only the beginning.”</w:t>
      </w:r>
    </w:p>
    <w:p>
      <w:pPr>
        <w:sectPr>
          <w:pgSz w:w="11900" w:h="16838" w:orient="portrait"/>
          <w:cols w:equalWidth="0" w:num="1">
            <w:col w:w="11240"/>
          </w:cols>
          <w:pgMar w:left="320" w:top="14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Fourth Quarter 2025 Financial Highlights:</w:t>
      </w:r>
      <w:r>
        <w:rPr>
          <w:rFonts w:ascii="Times New Roman" w:cs="Times New Roman" w:eastAsia="Times New Roman" w:hAnsi="Times New Roman"/>
          <w:sz w:val="21"/>
          <w:szCs w:val="21"/>
          <w:b w:val="1"/>
          <w:bCs w:val="1"/>
          <w:color w:val="auto"/>
          <w:vertAlign w:val="superscript"/>
        </w:rPr>
        <w:t>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Results for the fourth quarter ended December 31, 2025 are presented below in comparison to the same period in the prior year:</w:t>
      </w:r>
    </w:p>
    <w:p>
      <w:pPr>
        <w:spacing w:after="0" w:line="246"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16"/>
          <w:szCs w:val="16"/>
          <w:color w:val="auto"/>
        </w:rPr>
        <w:t>$36.6 million (+457.1% YoY) (+55.2% QoQ)</w:t>
      </w:r>
    </w:p>
    <w:p>
      <w:pPr>
        <w:spacing w:after="0" w:line="1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16"/>
          <w:szCs w:val="16"/>
          <w:color w:val="auto"/>
        </w:rPr>
        <w:t>$21.7 million (+801.1% YoY)</w:t>
      </w:r>
    </w:p>
    <w:p>
      <w:pPr>
        <w:spacing w:after="0" w:line="5" w:lineRule="exact"/>
        <w:rPr>
          <w:rFonts w:ascii="Times New Roman" w:cs="Times New Roman" w:eastAsia="Times New Roman" w:hAnsi="Times New Roman"/>
          <w:sz w:val="16"/>
          <w:szCs w:val="16"/>
          <w:color w:val="auto"/>
        </w:rPr>
      </w:pPr>
    </w:p>
    <w:p>
      <w:pPr>
        <w:ind w:left="640" w:hanging="308"/>
        <w:spacing w:after="0" w:line="183" w:lineRule="auto"/>
        <w:tabs>
          <w:tab w:leader="none" w:pos="6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Adjusted EBITDA loss</w:t>
      </w:r>
      <w:r>
        <w:rPr>
          <w:rFonts w:ascii="Times New Roman" w:cs="Times New Roman" w:eastAsia="Times New Roman" w:hAnsi="Times New Roman"/>
          <w:sz w:val="20"/>
          <w:szCs w:val="20"/>
          <w:b w:val="1"/>
          <w:bCs w:val="1"/>
          <w:color w:val="auto"/>
          <w:vertAlign w:val="superscript"/>
        </w:rPr>
        <w:t>4</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$(2.3) million (70.4% YoY improvement)</w:t>
      </w: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Loss: </w:t>
      </w:r>
      <w:r>
        <w:rPr>
          <w:rFonts w:ascii="Times New Roman" w:cs="Times New Roman" w:eastAsia="Times New Roman" w:hAnsi="Times New Roman"/>
          <w:sz w:val="16"/>
          <w:szCs w:val="16"/>
          <w:color w:val="auto"/>
        </w:rPr>
        <w:t>$(28.4) million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Total adjusted liquidity as of February 15, 2026</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$171.1 million with no outstanding debt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 sets out our revenue and gross profit by business unit for the fourth quarter ended December 31, 2025: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47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2"/>
        </w:trPr>
        <w:tc>
          <w:tcPr>
            <w:tcW w:w="470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tc>
        <w:tc>
          <w:tcPr>
            <w:tcW w:w="80" w:type="dxa"/>
            <w:vAlign w:val="bottom"/>
          </w:tcPr>
          <w:p>
            <w:pPr>
              <w:spacing w:after="0"/>
              <w:rPr>
                <w:sz w:val="18"/>
                <w:szCs w:val="18"/>
                <w:color w:val="auto"/>
              </w:rPr>
            </w:pPr>
          </w:p>
        </w:tc>
        <w:tc>
          <w:tcPr>
            <w:tcW w:w="19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tc>
      </w:tr>
      <w:tr>
        <w:trPr>
          <w:trHeight w:val="207"/>
        </w:trPr>
        <w:tc>
          <w:tcPr>
            <w:tcW w:w="4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Europa</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Total revenue for the fourth quarter ended December 31, 2025 surged 457.1% year-over-year to a record $36.6 million from $6.6 million in the fourth quarter of 2024, and increased 55.2% sequentially from $23.6 million in the third quarter of 2025. Gross profit grew more than eightfold year-over-year to $21.7 million, resulting in a consolidated gross margin of 59.5%. With the divestiture of the Europa 3PL business (i.e. Hubmatrix) completed in January 2026, the Company's blended gross margin profile is expected to improve in 2026.</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Selling and marketing expenses were $16.1 million for the quarter ended December 31, 2025, compared to $1.6 million in the fourth quarter of 2024, reflecting the Company's significant investment in building IM8 into a global consumer brand and driving customer acquisition. As a percentage of total revenue, selling and marketing expenses were 44.0%, demonstrating the Company's confidence in deploying capital into high-return customer acquisition channels with proven unit economics.</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Adjusted EBITDA loss for the fourth quarter ended December 31, 2025 improved by 70.4% year-over-year to $(2.3) million, compared to $(7.6) million in the fourth quarter of 2024. Despite the increase in selling and marketing expenses, the significant improvement in adjusted EBITDA loss demonstrates the increasing operating leverage of the business, as revenue scales significantly faster than operating expenses, underscoring the Company's commitment to disciplined growth and its clear path toward profitability.</w:t>
      </w:r>
    </w:p>
    <w:p>
      <w:pPr>
        <w:spacing w:after="0" w:line="200" w:lineRule="exact"/>
        <w:rPr>
          <w:sz w:val="20"/>
          <w:szCs w:val="20"/>
          <w:color w:val="auto"/>
        </w:rPr>
      </w:pP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Loss from continuing operations was $(28.4) million for the fourth quarter ended December 31, 2025. The loss was primarily attributable to several non-cash and non-recurring items related to the Company's strategic transformation. These included $8.2 million in impairment loss of goodwill related to the legacy Europa business, $9.7 million in unrealized fair value loss on digital asset holdings due to market price movements, and approximately $8.1 million in combined non-recurring expenses related to strategic transactions, disposal and realignment. After adjusting for these items, the underlying operational loss for the fourth quarter ended December 31, 2025 was approximately $2.3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ind w:firstLine="8"/>
        <w:spacing w:after="0" w:line="253" w:lineRule="auto"/>
        <w:tabs>
          <w:tab w:leader="none" w:pos="92"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Unless otherwise specified, financial figures in this press release denotes results from continuing operations, which excludes our divested ACT Genomics business. Refer to the section titled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for further details on the divestment of ACT Genomics and related IFRS Accounting Standards.</w:t>
      </w:r>
    </w:p>
    <w:p>
      <w:pPr>
        <w:jc w:val="both"/>
        <w:spacing w:after="0" w:line="261" w:lineRule="auto"/>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Adjusted EBITDA is a non-IFRS financial measure defined as loss for the period excluding (1) depreciation and amortization, (2) interest income, (3) other finance costs, (4) income tax</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expense/(credit), (5) amortization of deferred expenses, (6) equity-settled share-based payment expenses, (7) non-recurring expenses related to acquisition, disposal and fundraising, (8) strategic realignment and discontinued products impact, (9) exchange gain or loss, net, (10) fair value loss on financial assets at fair value through profit or loss, (11) fair value loss/(gain) on warrant liabilities, (12) unrealized fair value loss on digital asset, (13) share of loss of equity-accounted investees, net of tax, (14) impairment loss of goodwill, (15) gain on disposal of subsidiary, and (16) (profit)/loss from discontinued operation, net of tax. These adjustments are made for items that may not be indicative of our business performance, including non-cash and/or non-recurring items. Refer to the section titled “Unaudited Non-IFRS Financial Measures” elsewhere in this document. Also refer to “</w:t>
      </w:r>
      <w:r>
        <w:rPr>
          <w:rFonts w:ascii="Times New Roman" w:cs="Times New Roman" w:eastAsia="Times New Roman" w:hAnsi="Times New Roman"/>
          <w:sz w:val="14"/>
          <w:szCs w:val="14"/>
          <w:i w:val="1"/>
          <w:iCs w:val="1"/>
          <w:color w:val="auto"/>
        </w:rPr>
        <w:t>Reconciliation of loss for the year/period under IFRS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Standards and adjusted EBITDA (Non-IFRS)</w:t>
      </w:r>
      <w:r>
        <w:rPr>
          <w:rFonts w:ascii="Times New Roman" w:cs="Times New Roman" w:eastAsia="Times New Roman" w:hAnsi="Times New Roman"/>
          <w:sz w:val="14"/>
          <w:szCs w:val="14"/>
          <w:color w:val="auto"/>
        </w:rPr>
        <w:t>” at the end of this document for a reconciliation of adjusted EBITDA to loss for the year/period, the most comparable IFRS Accounting Standards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measure.</w:t>
      </w:r>
    </w:p>
    <w:p>
      <w:pPr>
        <w:spacing w:after="0" w:line="161"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Refer to footnote 2.</w:t>
      </w:r>
    </w:p>
    <w:p>
      <w:pPr>
        <w:sectPr>
          <w:pgSz w:w="11900" w:h="16838" w:orient="portrait"/>
          <w:cols w:equalWidth="0" w:num="1">
            <w:col w:w="11240"/>
          </w:cols>
          <w:pgMar w:left="320" w:top="14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Full Year 2025 Financial Highlights: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Results for the year ended December 31, 2025 are presented below in comparison to the same period in the prior year:</w:t>
      </w:r>
    </w:p>
    <w:p>
      <w:pPr>
        <w:spacing w:after="0" w:line="260"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16"/>
          <w:szCs w:val="16"/>
          <w:color w:val="auto"/>
        </w:rPr>
        <w:t>$92.4 million (+479.7% YoY)</w:t>
      </w:r>
    </w:p>
    <w:p>
      <w:pPr>
        <w:spacing w:after="0" w:line="2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16"/>
          <w:szCs w:val="16"/>
          <w:color w:val="auto"/>
        </w:rPr>
        <w:t>$48.9 million (+427.6% YoY)</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Adjusted EBITDA loss: </w:t>
      </w:r>
      <w:r>
        <w:rPr>
          <w:rFonts w:ascii="Times New Roman" w:cs="Times New Roman" w:eastAsia="Times New Roman" w:hAnsi="Times New Roman"/>
          <w:sz w:val="16"/>
          <w:szCs w:val="16"/>
          <w:color w:val="auto"/>
        </w:rPr>
        <w:t>$(13.0) million (27.2% YoY improvement)</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Loss: </w:t>
      </w:r>
      <w:r>
        <w:rPr>
          <w:rFonts w:ascii="Times New Roman" w:cs="Times New Roman" w:eastAsia="Times New Roman" w:hAnsi="Times New Roman"/>
          <w:sz w:val="16"/>
          <w:szCs w:val="16"/>
          <w:color w:val="auto"/>
        </w:rPr>
        <w:t>$(55.0) million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 cash used in operating activities: </w:t>
      </w:r>
      <w:r>
        <w:rPr>
          <w:rFonts w:ascii="Times New Roman" w:cs="Times New Roman" w:eastAsia="Times New Roman" w:hAnsi="Times New Roman"/>
          <w:sz w:val="16"/>
          <w:szCs w:val="16"/>
          <w:color w:val="auto"/>
        </w:rPr>
        <w:t>$(22.9)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 sets out our revenue and gross profit by business unit for the year ended December 31, 2025: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47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2"/>
        </w:trPr>
        <w:tc>
          <w:tcPr>
            <w:tcW w:w="470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tc>
        <w:tc>
          <w:tcPr>
            <w:tcW w:w="80" w:type="dxa"/>
            <w:vAlign w:val="bottom"/>
          </w:tcPr>
          <w:p>
            <w:pPr>
              <w:spacing w:after="0"/>
              <w:rPr>
                <w:sz w:val="18"/>
                <w:szCs w:val="18"/>
                <w:color w:val="auto"/>
              </w:rPr>
            </w:pPr>
          </w:p>
        </w:tc>
        <w:tc>
          <w:tcPr>
            <w:tcW w:w="19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tc>
      </w:tr>
      <w:tr>
        <w:trPr>
          <w:trHeight w:val="207"/>
        </w:trPr>
        <w:tc>
          <w:tcPr>
            <w:tcW w:w="4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12,945</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37,716</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Europa</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48,944</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Total revenue for the year ended December 31, 2025 surged 479.7% year-over-year to a record $92.4 million, compared to $15.9 million in 2024. Gross profit increased 427.6% year-over-year to $48.9 million. The consolidated gross margin was 53.0%, reflecting the mix effect of the lower-margin Europa business. With the divestiture of the Europa business now complete, the Company's blended gross margin profile is expected to improve in 2026.</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Selling and marketing expenses was $35.5 million in the year ended December 31, 2025, reflecting the Company's deliberate investment in marketing and customer acquisition to scale IM8 globally. As a percentage of total revenue, selling and marketing expenses were 38.5%, demonstrating the Company's ability to scale revenue at a significantly greater rate than marketing spend. As IM8 enters its next phase of international expansion in 2026, the Company expects this ratio to be in the range of 45% to 50% of revenue, and will continue to closely monitor this figure as a key indicator of marketing efficiency and return on investment.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Adjusted EBITDA loss improved 27.2% year-over-year to $(13.0) million in the year ended December 31, 2025, compared to $(17.9) million in 2024. This improvement was achieved despite the significant increase in marketing investment made to scale IM8 from near-zero to over $60 million in revenue, reflecting the capital efficiency of the IM8 business model and the Company's disciplined approach to growth.</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Loss from continuing operations was $(55.0) million in the year ended December 31, 2025, compared to $(38.4) million in 2024. The year-over-year increase was primarily driven by non-cash and non-recurring items associated with the Company's strategic transformation, including $8.2 million in impairment loss of goodwill for Europa, $9.7 million in unrealized fair value loss on digital asset holdings due to market price movements, $8.0 million in non-recurring expenses related to disposal and fundraising, $3.8 million of strategic realignment and restructuring expenses, and $6.4 million in equity-settled share-based payment expenses. Excluding these non-cash and/or non-recurring items, the underlying operational loss for the year ended December 31, 2025 was approximately $13.0 million, equivalent to the adjusted EBITDA loss for the same period.</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cash used in operating activities was $(22.9) million for the year ended December 31, 2025, compared to $(28.9) million in 2024, representing a 20.7% year-over-year improvement. The operating cash outflow primarily reflects the Company's investment in scaling IM8, inventory build-up to support rapid revenue growth, working capital requirements associated with expanding into new international markets, and one-off costs such as strategic realignment and restructuring.</w:t>
      </w:r>
    </w:p>
    <w:p>
      <w:pPr>
        <w:sectPr>
          <w:pgSz w:w="11900" w:h="16838" w:orient="portrait"/>
          <w:cols w:equalWidth="0" w:num="1">
            <w:col w:w="11240"/>
          </w:cols>
          <w:pgMar w:left="320" w:top="14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Looking Ahead to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reaffirms its previous IM8 revenue guidance of $180 million to $200 million for full year 2026, implying:</w:t>
      </w:r>
    </w:p>
    <w:p>
      <w:pPr>
        <w:spacing w:after="0" w:line="248"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 million to $25 million in monthly revenue for IM8 by the end of 2026</w:t>
      </w:r>
    </w:p>
    <w:p>
      <w:pPr>
        <w:spacing w:after="0" w:line="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 million to $300 million in ARR for IM8 by the end of 2026</w:t>
      </w:r>
    </w:p>
    <w:p>
      <w:pPr>
        <w:spacing w:after="0" w:line="23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Adjusted EBITDA loss for full year 2026 is expected to be approximately $16 million to $20 million, in line with the adjusted EBITDA losses in full years 2025 and 2024, with a trajectory towards adjusted EBITDA profitability by Q4 of 2027.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Q4 2025 Earnings Conference Call</w:t>
      </w:r>
    </w:p>
    <w:p>
      <w:pPr>
        <w:spacing w:after="0" w:line="23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Company will hold its earnings conference call on February 18 at 10:00 a.m. Eastern Time to discuss its financial results in further detail. The call will conclude with a Q&amp;A session with analysts.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Wednesday, February 18, 2026</w:t>
            </w:r>
          </w:p>
        </w:tc>
      </w:tr>
      <w:tr>
        <w:trPr>
          <w:trHeight w:val="221"/>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Time:</w:t>
            </w:r>
          </w:p>
        </w:tc>
        <w:tc>
          <w:tcPr>
            <w:tcW w:w="7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10:00 a.m. Eastern Time</w:t>
            </w:r>
          </w:p>
        </w:tc>
      </w:tr>
      <w:tr>
        <w:trPr>
          <w:trHeight w:val="23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Dial-in:</w:t>
            </w: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1-877-425-9470</w:t>
            </w:r>
          </w:p>
        </w:tc>
      </w:tr>
      <w:tr>
        <w:trPr>
          <w:trHeight w:val="221"/>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 Dial-in:</w:t>
            </w:r>
          </w:p>
        </w:tc>
        <w:tc>
          <w:tcPr>
            <w:tcW w:w="7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1-201-389-0878</w:t>
            </w:r>
          </w:p>
        </w:tc>
      </w:tr>
      <w:tr>
        <w:trPr>
          <w:trHeight w:val="23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Webcast</w:t>
            </w: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https://viavid.webcasts.com/starthere.jsp?ei=1751993&amp;tp_key=65554f8aa5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audio replay of the webcast will be available on the Company’s investor relations website at https://ir.prenetics.com/.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Prenetics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Prenetics (NASDAQ: PRE) is a leading health sciences company dedicated to advancing human health and longevity. The Company’s flagship consumer brand, IM8, co-founded with David Beckham and championed by World No. 1 tennis player Aryna Sabalenka, is redefining the premium daily nutrition category through science-backed formulations and global brand partnerships. Since its launch, IM8 has become one of the fastest-growing brands in consumer health, achieving an impressive milestone of surpassing $100 million in annualized recurring revenue within just 11 months of operations, and is now sold in more than 30 countries worldwide.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IM8</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investors@prenetics.com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PRE@mzgroup.us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Angela Cheung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 Corporate Finance</w:t>
      </w:r>
    </w:p>
    <w:p>
      <w:pPr>
        <w:spacing w:after="0"/>
        <w:rPr>
          <w:sz w:val="20"/>
          <w:szCs w:val="20"/>
          <w:color w:val="auto"/>
        </w:rPr>
      </w:pPr>
      <w:r>
        <w:rPr>
          <w:rFonts w:ascii="Times New Roman" w:cs="Times New Roman" w:eastAsia="Times New Roman" w:hAnsi="Times New Roman"/>
          <w:sz w:val="16"/>
          <w:szCs w:val="16"/>
          <w:color w:val="0000FF"/>
        </w:rPr>
        <w:t>angela.hm.cheung@prenetics.com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Unaudited Results</w:t>
      </w:r>
    </w:p>
    <w:p>
      <w:pPr>
        <w:spacing w:after="0" w:line="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financial results presented in this press release are preliminary and unaudited and remain subject to completion of the Company’s year-end audit by an independent registered public accounting firm. The Company expects to include its audited consolidated financial statements for the year ended December 31, 2025 in its Annual Report on Form 20-F to be filed with the U.S. Securities and Exchange Commission.</w:t>
      </w:r>
    </w:p>
    <w:p>
      <w:pPr>
        <w:sectPr>
          <w:pgSz w:w="11900" w:h="16838" w:orient="portrait"/>
          <w:cols w:equalWidth="0" w:num="1">
            <w:col w:w="11240"/>
          </w:cols>
          <w:pgMar w:left="320" w:top="14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future alpha-generating activities involving the Company’s digital asset holdings could expose it to additional risks; the Company’s purchase of digital asset subjects it to risks related to extreme volatility and speculative nature of digital asset;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Figures for prior periods have been re-presented in accordance with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(“IFRS 5”). In June 2025, the Group determined that ACT Genomics Holdings Company Limited (“ACT Genomics”) met the criteria to be classified as held for sale and a discontinued operation, following the signing of a definitive sale and purchase agreement with Delta Electronics, Inc.</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accordance with IFRS 5, the results of ACT Genomics are presented separately from the Group’s continuing operations (comprising IM8, CircleDNA and Europa) in the unaudited consolidated statements of profit or loss and other comprehensive income, and comparative figures for those statements have been restated accordingly. The unaudited consolidated statements of financial position have not been retrospectively reclassified.</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divestment of ACT Genomics was completed on October 1, 2025, and its results are fully excluded from the Group’s continuing operations thereafter. The divestiture of the Europa business was completed in January 2026, and accordingly its financial results are included within the Group’s continuing operations for the fiscal year ended December 31, 2025.</w:t>
      </w:r>
    </w:p>
    <w:p>
      <w:pPr>
        <w:spacing w:after="0" w:line="21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Unaudited non-IFRS financial measures have been provided in this press release. An explanation of these measures is also included below under the heading “Unaudited Non-IFRS Financial Measures”.</w:t>
      </w:r>
    </w:p>
    <w:p>
      <w:pPr>
        <w:sectPr>
          <w:pgSz w:w="11900" w:h="16838" w:orient="portrait"/>
          <w:cols w:equalWidth="0" w:num="1">
            <w:col w:w="11240"/>
          </w:cols>
          <w:pgMar w:left="320" w:top="140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Unaudited Non-IFRS Financial Measures</w:t>
      </w:r>
    </w:p>
    <w:p>
      <w:pPr>
        <w:spacing w:after="0" w:line="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To supplement the Company’s consolidated financial statements prepared in accordance with IFRS Accounting Standards, the Company is providing the following non-IFRS measures: adjusted EBITDA and adjusted liquidity. These non-IFRS financial measures are not based on any standardized methodology prescribed by IFRS Accounting Standards and are not necessarily comparable to similarly-titled measures presented by other companies. Management believes these non-IFRS financial measures are useful to investors in evaluating the Company’s ongoing operating results and trends.</w:t>
      </w: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Management is excluding from some or all of its non-IFRS results (1) depreciation and amortization, (2) interest income, (3) other finance costs, (4) income tax expense/(credit), (5) amortization of deferred expenses, (6) equity-settled share-based payment expenses, (7) non-recurring expenses related to acquisition, disposal and fundraising, (8) strategic realignment and discontinued products impact, (9) exchange gain or loss, net, (10) fair value loss on financial assets at fair value through profit or loss, (11) fair value loss/(gain) on warrant liabilities, (12) unrealized fair value loss on digital asset, (13) share of loss of equity-accounted investees, net of tax, (14) impairment loss of goodwill, (15) gain on disposal of subsidiary, and (16) (profit)/loss from discontinued operation, net of tax. These adjustments are made for items that may not be indicative of our business, results of operations, or outlook, including but not limited to non-cash and/or non-recurring items. These non-IFRS financial measures are limited in value because they exclude certain items that may have a material impact on the reported financial results. Management accounts for this limitation by analyzing results on an IFRS Accounting Standards basis as well as a non-IFRS basis, and also by providing IFRS Accounting Standards measures in the Company’s public disclosures.</w:t>
      </w:r>
    </w:p>
    <w:p>
      <w:pPr>
        <w:spacing w:after="0" w:line="200" w:lineRule="exact"/>
        <w:rPr>
          <w:sz w:val="20"/>
          <w:szCs w:val="20"/>
          <w:color w:val="auto"/>
        </w:rPr>
      </w:pP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breakdown of adjusted liquidity provided in the table captioned “Adjusted liquidity (Non-IFRS)” and the non-IFRS reconciliations provided in the tables captioned “Reconciliation of loss for the year/period under IFRS Accounting Standards and adjusted EBITDA (Non-IFRS)” set forth at the end of this document.</w:t>
      </w:r>
    </w:p>
    <w:p>
      <w:pPr>
        <w:sectPr>
          <w:pgSz w:w="11900" w:h="16838" w:orient="portrait"/>
          <w:cols w:equalWidth="0" w:num="1">
            <w:col w:w="11240"/>
          </w:cols>
          <w:pgMar w:left="320" w:top="140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63" w:lineRule="exact"/>
        <w:rPr>
          <w:sz w:val="20"/>
          <w:szCs w:val="20"/>
          <w:color w:val="auto"/>
        </w:rPr>
      </w:pPr>
    </w:p>
    <w:tbl>
      <w:tblPr>
        <w:tblLayout w:type="fixed"/>
        <w:tblInd w:w="38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67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6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(Audited)</w:t>
            </w:r>
          </w:p>
        </w:tc>
      </w:tr>
      <w:tr>
        <w:trPr>
          <w:trHeight w:val="21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Digital asset</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37,364</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68,223</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120,134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127,427</w:t>
            </w: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10,562</w:t>
            </w: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52,251</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86,148</w:t>
            </w:r>
          </w:p>
        </w:tc>
      </w:tr>
      <w:tr>
        <w:trPr>
          <w:trHeight w:val="212"/>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203,519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213,575</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5,678</w:t>
            </w: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for puttable financial instrument</w:t>
            </w:r>
          </w:p>
        </w:tc>
        <w:tc>
          <w:tcPr>
            <w:tcW w:w="4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14,309</w:t>
            </w: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w:t>
            </w: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42,229</w:t>
            </w:r>
          </w:p>
        </w:tc>
      </w:tr>
      <w:tr>
        <w:trPr>
          <w:trHeight w:val="19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170,370</w:t>
            </w: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174,602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170,389</w:t>
            </w: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174,509</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171,346</w:t>
            </w: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213,575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880"/>
          </w:cols>
          <w:pgMar w:left="320" w:top="1400"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PRENETICS GLOBAL LIMITED</w:t>
      </w:r>
    </w:p>
    <w:p>
      <w:pPr>
        <w:spacing w:after="0" w:line="12" w:lineRule="exact"/>
        <w:rPr>
          <w:sz w:val="20"/>
          <w:szCs w:val="20"/>
          <w:color w:val="auto"/>
        </w:rPr>
      </w:pPr>
    </w:p>
    <w:p>
      <w:pPr>
        <w:ind w:right="484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Unaudited consolidated statements of profit or loss and other comprehensive income </w:t>
      </w:r>
      <w:r>
        <w:rPr>
          <w:rFonts w:ascii="Times New Roman" w:cs="Times New Roman" w:eastAsia="Times New Roman" w:hAnsi="Times New Roman"/>
          <w:sz w:val="16"/>
          <w:szCs w:val="16"/>
          <w:i w:val="1"/>
          <w:iCs w:val="1"/>
          <w:color w:val="auto"/>
        </w:rPr>
        <w:t>(All amounts in thousands of U.S. dollars (“$”) unless otherwise indicated)</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(Audited)</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92,390</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15,936</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0" w:type="dxa"/>
            <w:vAlign w:val="bottom"/>
          </w:tcPr>
          <w:p>
            <w:pPr>
              <w:spacing w:after="0"/>
              <w:rPr>
                <w:sz w:val="1"/>
                <w:szCs w:val="1"/>
                <w:color w:val="auto"/>
              </w:rPr>
            </w:pP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Selling and marketing expenses</w:t>
            </w:r>
            <w:r>
              <w:rPr>
                <w:rFonts w:ascii="Times New Roman" w:cs="Times New Roman" w:eastAsia="Times New Roman" w:hAnsi="Times New Roman"/>
                <w:sz w:val="21"/>
                <w:szCs w:val="21"/>
                <w:b w:val="1"/>
                <w:bCs w:val="1"/>
                <w:color w:val="auto"/>
                <w:vertAlign w:val="superscript"/>
              </w:rPr>
              <w:t>6</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6</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(33,090)</w:t>
            </w:r>
          </w:p>
        </w:tc>
        <w:tc>
          <w:tcPr>
            <w:tcW w:w="0" w:type="dxa"/>
            <w:vAlign w:val="bottom"/>
          </w:tcPr>
          <w:p>
            <w:pPr>
              <w:spacing w:after="0"/>
              <w:rPr>
                <w:sz w:val="1"/>
                <w:szCs w:val="1"/>
                <w:color w:val="auto"/>
              </w:rPr>
            </w:pP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fair value loss on digital asset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disposal of subsidiaries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partial disposal of an equity-accounted investee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taxation</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(expense)/credit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0" w:type="dxa"/>
            <w:vAlign w:val="bottom"/>
          </w:tcPr>
          <w:p>
            <w:pPr>
              <w:spacing w:after="0"/>
              <w:rPr>
                <w:sz w:val="1"/>
                <w:szCs w:val="1"/>
                <w:color w:val="auto"/>
              </w:rPr>
            </w:pP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(38,386)</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Loss from discontinued operation, net of tax</w:t>
            </w:r>
            <w:r>
              <w:rPr>
                <w:rFonts w:ascii="Times New Roman" w:cs="Times New Roman" w:eastAsia="Times New Roman" w:hAnsi="Times New Roman"/>
                <w:sz w:val="21"/>
                <w:szCs w:val="21"/>
                <w:b w:val="1"/>
                <w:bCs w:val="1"/>
                <w:color w:val="auto"/>
                <w:vertAlign w:val="superscript"/>
              </w:rPr>
              <w:t>7</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(11,420)</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year</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w:t>
            </w:r>
          </w:p>
        </w:tc>
        <w:tc>
          <w:tcPr>
            <w:tcW w:w="0" w:type="dxa"/>
            <w:vAlign w:val="bottom"/>
          </w:tcPr>
          <w:p>
            <w:pPr>
              <w:spacing w:after="0"/>
              <w:rPr>
                <w:sz w:val="1"/>
                <w:szCs w:val="1"/>
                <w:color w:val="auto"/>
              </w:rPr>
            </w:pP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(expense)/income for the year</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Items that will not be reclassified subsequently to profit or loss: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other comprehensive (expense)/income of equity-accounted investees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Reclassification of cumulative translation reserve upon disposal of foreign operations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income/(expense) for the year</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expense for the year</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(50,527)</w:t>
            </w:r>
          </w:p>
        </w:tc>
        <w:tc>
          <w:tcPr>
            <w:tcW w:w="0" w:type="dxa"/>
            <w:vAlign w:val="bottom"/>
          </w:tcPr>
          <w:p>
            <w:pPr>
              <w:spacing w:after="0"/>
              <w:rPr>
                <w:sz w:val="1"/>
                <w:szCs w:val="1"/>
                <w:color w:val="auto"/>
              </w:rPr>
            </w:pP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(46,304)</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(60,593)</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expense attributable to:</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(46,785)</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0" w:type="dxa"/>
            <w:vAlign w:val="bottom"/>
          </w:tcPr>
          <w:p>
            <w:pPr>
              <w:spacing w:after="0"/>
              <w:rPr>
                <w:sz w:val="1"/>
                <w:szCs w:val="1"/>
                <w:color w:val="auto"/>
              </w:rPr>
            </w:pPr>
          </w:p>
        </w:tc>
      </w:tr>
      <w:tr>
        <w:trPr>
          <w:trHeight w:val="235"/>
        </w:trPr>
        <w:tc>
          <w:tcPr>
            <w:tcW w:w="66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(60,107)</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14,053,117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12,494,648</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14,053,117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12,494,648</w:t>
            </w:r>
          </w:p>
        </w:tc>
        <w:tc>
          <w:tcPr>
            <w:tcW w:w="0" w:type="dxa"/>
            <w:vAlign w:val="bottom"/>
          </w:tcPr>
          <w:p>
            <w:pPr>
              <w:spacing w:after="0"/>
              <w:rPr>
                <w:sz w:val="1"/>
                <w:szCs w:val="1"/>
                <w:color w:val="auto"/>
              </w:rPr>
            </w:pPr>
          </w:p>
        </w:tc>
      </w:tr>
    </w:tbl>
    <w:p>
      <w:pPr>
        <w:sectPr>
          <w:pgSz w:w="11900" w:h="16838" w:orient="portrait"/>
          <w:cols w:equalWidth="0" w:num="1">
            <w:col w:w="10680"/>
          </w:cols>
          <w:pgMar w:left="320" w:top="758" w:right="8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PRENETICS GLOBAL LIMITED</w:t>
      </w:r>
    </w:p>
    <w:p>
      <w:pPr>
        <w:spacing w:after="0" w:line="12" w:lineRule="exact"/>
        <w:rPr>
          <w:sz w:val="20"/>
          <w:szCs w:val="20"/>
          <w:color w:val="auto"/>
        </w:rPr>
      </w:pPr>
    </w:p>
    <w:p>
      <w:pPr>
        <w:ind w:right="520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Unaudited consolidated statements of profit or loss and other comprehensive income </w:t>
      </w:r>
      <w:r>
        <w:rPr>
          <w:rFonts w:ascii="Times New Roman" w:cs="Times New Roman" w:eastAsia="Times New Roman" w:hAnsi="Times New Roman"/>
          <w:sz w:val="16"/>
          <w:szCs w:val="16"/>
          <w:i w:val="1"/>
          <w:iCs w:val="1"/>
          <w:color w:val="auto"/>
        </w:rPr>
        <w:t>(All amounts in thousands of U.S. dollars (“$”) unless otherwise indicated)</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56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2"/>
        </w:trPr>
        <w:tc>
          <w:tcPr>
            <w:tcW w:w="5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6"/>
        </w:trPr>
        <w:tc>
          <w:tcPr>
            <w:tcW w:w="56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r>
      <w:tr>
        <w:trPr>
          <w:trHeight w:val="200"/>
        </w:trPr>
        <w:tc>
          <w:tcPr>
            <w:tcW w:w="5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(Unaudited)</w:t>
            </w: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23,555</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6,563</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 costs</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(14,817)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(4,150)</w:t>
            </w:r>
          </w:p>
        </w:tc>
      </w:tr>
      <w:tr>
        <w:trPr>
          <w:trHeight w:val="19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2,413</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and other net gain</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w:t>
            </w:r>
          </w:p>
        </w:tc>
      </w:tr>
      <w:tr>
        <w:trPr>
          <w:trHeight w:val="203"/>
        </w:trPr>
        <w:tc>
          <w:tcPr>
            <w:tcW w:w="5600" w:type="dxa"/>
            <w:vAlign w:val="bottom"/>
          </w:tcPr>
          <w:p>
            <w:pPr>
              <w:spacing w:after="0" w:line="203" w:lineRule="exact"/>
              <w:rPr>
                <w:sz w:val="20"/>
                <w:szCs w:val="20"/>
                <w:color w:val="auto"/>
              </w:rPr>
            </w:pPr>
            <w:r>
              <w:rPr>
                <w:rFonts w:ascii="Times New Roman" w:cs="Times New Roman" w:eastAsia="Times New Roman" w:hAnsi="Times New Roman"/>
                <w:sz w:val="15"/>
                <w:szCs w:val="15"/>
                <w:color w:val="auto"/>
              </w:rPr>
              <w:t>Selling and marketing expenses</w:t>
            </w:r>
            <w:r>
              <w:rPr>
                <w:rFonts w:ascii="Times New Roman" w:cs="Times New Roman" w:eastAsia="Times New Roman" w:hAnsi="Times New Roman"/>
                <w:sz w:val="19"/>
                <w:szCs w:val="19"/>
                <w:b w:val="1"/>
                <w:bCs w:val="1"/>
                <w:color w:val="auto"/>
                <w:vertAlign w:val="superscript"/>
              </w:rPr>
              <w:t>6</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(1,576)</w:t>
            </w:r>
          </w:p>
        </w:tc>
      </w:tr>
      <w:tr>
        <w:trPr>
          <w:trHeight w:val="203"/>
        </w:trPr>
        <w:tc>
          <w:tcPr>
            <w:tcW w:w="5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19"/>
                <w:szCs w:val="19"/>
                <w:b w:val="1"/>
                <w:bCs w:val="1"/>
                <w:color w:val="auto"/>
                <w:vertAlign w:val="superscript"/>
              </w:rPr>
              <w:t>6</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Impairment loss of goodwill</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6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5"/>
                <w:szCs w:val="15"/>
                <w:color w:val="auto"/>
              </w:rPr>
              <w:t>Administrative and other operating expenses</w:t>
            </w:r>
            <w:r>
              <w:rPr>
                <w:rFonts w:ascii="Times New Roman" w:cs="Times New Roman" w:eastAsia="Times New Roman" w:hAnsi="Times New Roman"/>
                <w:sz w:val="19"/>
                <w:szCs w:val="19"/>
                <w:b w:val="1"/>
                <w:bCs w:val="1"/>
                <w:color w:val="auto"/>
                <w:vertAlign w:val="superscript"/>
              </w:rPr>
              <w:t>6</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(17,298)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(12,086)</w:t>
            </w:r>
          </w:p>
        </w:tc>
      </w:tr>
      <w:tr>
        <w:trPr>
          <w:trHeight w:val="19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(12,281)</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loss on financial assets at fair value through profit or loss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(8,728)</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Fair value gain on warrant liabilities</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fair value loss on digital asset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Gain on disposal of subsidiaries</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partial disposal of an equity-accounted investee</w:t>
            </w: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1,244</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Share of loss of equity-accounted investees</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finance costs</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9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Loss before taxation</w:t>
            </w: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(20,781)</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(expense)/credit</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7,440</w:t>
            </w:r>
          </w:p>
        </w:tc>
      </w:tr>
      <w:tr>
        <w:trPr>
          <w:trHeight w:val="19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(13,341)</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Discontinued operation</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6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5"/>
                <w:szCs w:val="15"/>
                <w:color w:val="auto"/>
              </w:rPr>
              <w:t>Profit/(loss) from discontinued operation, net of tax</w:t>
            </w:r>
            <w:r>
              <w:rPr>
                <w:rFonts w:ascii="Times New Roman" w:cs="Times New Roman" w:eastAsia="Times New Roman" w:hAnsi="Times New Roman"/>
                <w:sz w:val="19"/>
                <w:szCs w:val="19"/>
                <w:b w:val="1"/>
                <w:bCs w:val="1"/>
                <w:color w:val="auto"/>
                <w:vertAlign w:val="superscript"/>
              </w:rPr>
              <w:t>7</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(4,202)</w:t>
            </w:r>
          </w:p>
        </w:tc>
      </w:tr>
      <w:tr>
        <w:trPr>
          <w:trHeight w:val="19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for the period</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(17,543)</w:t>
            </w: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comprehensive (expense)/income for the period</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Items that will not be reclassified subsequently to profit or loss: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5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 of other comprehensive (expense)/income of equity-accounted investees</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w:t>
            </w:r>
          </w:p>
        </w:tc>
      </w:tr>
      <w:tr>
        <w:trPr>
          <w:trHeight w:val="20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Unrealized fair value (loss)/gain on digital asset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Item that may be reclassified subsequently to profit or loss:</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Reclassification of cumulative translation reserve upon disposal of foreign operations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Exchange difference on translation of foreign operations</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(726)</w:t>
            </w:r>
          </w:p>
        </w:tc>
      </w:tr>
      <w:tr>
        <w:trPr>
          <w:trHeight w:val="19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comprehensive (expense)/income for the period</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w:t>
            </w:r>
          </w:p>
        </w:tc>
      </w:tr>
      <w:tr>
        <w:trPr>
          <w:trHeight w:val="198"/>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comprehensive expense for the period</w:t>
            </w: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(17,966)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56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Loss attributable to:</w:t>
            </w: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(16,343)</w:t>
            </w: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w:t>
            </w:r>
          </w:p>
        </w:tc>
      </w:tr>
      <w:tr>
        <w:trPr>
          <w:trHeight w:val="196"/>
        </w:trPr>
        <w:tc>
          <w:tcPr>
            <w:tcW w:w="56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(28,158)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(17,543)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comprehensive expense attributable to:</w:t>
            </w: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(6,144)</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(16,607)</w:t>
            </w: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(1,359)</w:t>
            </w:r>
          </w:p>
        </w:tc>
      </w:tr>
      <w:tr>
        <w:trPr>
          <w:trHeight w:val="196"/>
        </w:trPr>
        <w:tc>
          <w:tcPr>
            <w:tcW w:w="56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(17,966)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per share:</w:t>
            </w: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0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per share - Continuing operations:</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Diluted</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16,034,309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13,895,394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12,811,549</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16,034,309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13,895,394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12,811,549</w:t>
            </w:r>
          </w:p>
        </w:tc>
      </w:tr>
    </w:tbl>
    <w:p>
      <w:pPr>
        <w:sectPr>
          <w:pgSz w:w="11900" w:h="16838" w:orient="portrait"/>
          <w:cols w:equalWidth="0" w:num="1">
            <w:col w:w="11040"/>
          </w:cols>
          <w:pgMar w:left="320" w:top="758"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PRENETICS GLOBAL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 amounts in thousands of U.S. dollars (“$”))</w:t>
      </w: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5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250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716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7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(Audited)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(49,806)</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Bank interest income</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finance costs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8,869</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fair value loss on digital asset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foreign exchange losses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(Gain)/loss on disposal of property, plant and equipment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Write-off on property, plant and equipment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Write-off on inventories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disposal of subsidiaries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partial disposal of an equity-accounted investee</w:t>
            </w:r>
          </w:p>
        </w:tc>
        <w:tc>
          <w:tcPr>
            <w:tcW w:w="25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payment expenses in relation to issuance of shares to advisors</w:t>
            </w:r>
          </w:p>
        </w:tc>
        <w:tc>
          <w:tcPr>
            <w:tcW w:w="250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r>
      <w:tr>
        <w:trPr>
          <w:trHeight w:val="24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credit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r>
      <w:tr>
        <w:trPr>
          <w:trHeight w:val="210"/>
        </w:trPr>
        <w:tc>
          <w:tcPr>
            <w:tcW w:w="7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(30,839)</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deferred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(Increase)/decrease in inventories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trade receivables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 in deposits, prepayments and other receivables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(Increase)/decrease in amounts due from related companies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 amounts due from equity-accounted investees</w:t>
            </w:r>
          </w:p>
        </w:tc>
        <w:tc>
          <w:tcPr>
            <w:tcW w:w="25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Decrease/(increase) in other non-current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Increase/(decrease) in trade payables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w:t>
            </w:r>
          </w:p>
        </w:tc>
      </w:tr>
      <w:tr>
        <w:trPr>
          <w:trHeight w:val="24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accrued expenses and other current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4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(Decrease)/increase in contract liabilities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40"/>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Increase/(decrease) in other non-current liabilities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2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used in operating activities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(28,874)</w:t>
            </w:r>
          </w:p>
        </w:tc>
      </w:tr>
      <w:tr>
        <w:trPr>
          <w:trHeight w:val="24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250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(28,874)</w:t>
            </w:r>
          </w:p>
        </w:tc>
      </w:tr>
    </w:tbl>
    <w:p>
      <w:pPr>
        <w:sectPr>
          <w:pgSz w:w="11900" w:h="16838" w:orient="portrait"/>
          <w:cols w:equalWidth="0" w:num="1">
            <w:col w:w="11060"/>
          </w:cols>
          <w:pgMar w:left="320" w:top="1244"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PRENETICS GLOBAL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 amounts in thousands of U.S. dollars (“$”))</w:t>
      </w: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5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250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716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7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(Audited)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Payment for purchase of property, plant and equipment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Payment for purchase of digital asset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for purchase of intangible assets</w:t>
            </w:r>
          </w:p>
        </w:tc>
        <w:tc>
          <w:tcPr>
            <w:tcW w:w="25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Payment for purchase of financial assets at fair value through profit or loss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4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partial disposal of an equity-accounted investee</w:t>
            </w:r>
          </w:p>
        </w:tc>
        <w:tc>
          <w:tcPr>
            <w:tcW w:w="25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redemption of short-term deposits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r>
      <w:tr>
        <w:trPr>
          <w:trHeight w:val="24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inflow from disposal of a subsidiary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Payment for acquisition, net of cash acquired</w:t>
            </w:r>
          </w:p>
        </w:tc>
        <w:tc>
          <w:tcPr>
            <w:tcW w:w="250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in)/from investing activities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Capital element of lease rentals paid</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element of lease rentals paid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public placement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Payment for purchase of treasury shares</w:t>
            </w:r>
          </w:p>
        </w:tc>
        <w:tc>
          <w:tcPr>
            <w:tcW w:w="250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2"/>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from/(used in) financing activities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37,542</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(decrease)/increase in cash and cash equivalents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year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45,706</w:t>
            </w:r>
          </w:p>
        </w:tc>
      </w:tr>
      <w:tr>
        <w:trPr>
          <w:trHeight w:val="214"/>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Effect of foreign exchange rate changes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33"/>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060"/>
          </w:cols>
          <w:pgMar w:left="320" w:top="1244"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for the year/period under IFRS Accounting Standards and adjusted EBITDA (Non-IFRS)</w:t>
      </w:r>
    </w:p>
    <w:p>
      <w:pPr>
        <w:spacing w:after="0" w:line="286"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160" w:type="dxa"/>
            <w:vAlign w:val="bottom"/>
            <w:tcBorders>
              <w:bottom w:val="single" w:sz="8" w:color="auto"/>
            </w:tcBorders>
          </w:tcPr>
          <w:p>
            <w:pPr>
              <w:spacing w:after="0"/>
              <w:rPr>
                <w:sz w:val="18"/>
                <w:szCs w:val="18"/>
                <w:color w:val="auto"/>
              </w:rPr>
            </w:pPr>
          </w:p>
        </w:tc>
      </w:tr>
      <w:tr>
        <w:trPr>
          <w:trHeight w:val="208"/>
        </w:trPr>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6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year under IFRS Accounting Standards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expense/(credit)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w:t>
            </w: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 under IFRS Accounting Standards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(56,765)</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8,294</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 expenses related to acquisition, disposal and fundraising</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 or loss,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8,869</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Unrealized fair value loss on digital asset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partial disposal of an equity-accounted investee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Gain on disposal of subsidiary</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 net of tax</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w:t>
            </w:r>
          </w:p>
        </w:tc>
      </w:tr>
      <w:tr>
        <w:trPr>
          <w:trHeight w:val="212"/>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(17,853)</w:t>
            </w:r>
          </w:p>
        </w:tc>
      </w:tr>
      <w:tr>
        <w:trPr>
          <w:trHeight w:val="21"/>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520"/>
          </w:cols>
          <w:pgMar w:left="320" w:top="1008" w:right="10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8"/>
        </w:trPr>
        <w:tc>
          <w:tcPr>
            <w:tcW w:w="5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5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 under IFRS Accounting Standards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(17,543)</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expense/(credit)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 under IFRS Accounting Standards</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(24,755)</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 expenses related to acquisition, disposal and fundraising</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 or loss, net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8,728</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gain on warrant liabilities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Unrealized fair value loss on digital asset</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partial disposal of an equity-accounted investee</w:t>
            </w: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Gain on disposal of subsidiary</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Profit/(loss) from discontinued operation, net of tax</w:t>
            </w: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(7,619)</w:t>
            </w:r>
          </w:p>
        </w:tc>
      </w:tr>
      <w:tr>
        <w:trPr>
          <w:trHeight w:val="20"/>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20"/>
          </w:cols>
          <w:pgMar w:left="540" w:top="812"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liquidity (Non-IFRS)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-116205</wp:posOffset>
            </wp:positionV>
            <wp:extent cx="53746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4640" cy="137160"/>
                    </a:xfrm>
                    <a:prstGeom prst="rect">
                      <a:avLst/>
                    </a:prstGeom>
                    <a:noFill/>
                  </pic:spPr>
                </pic:pic>
              </a:graphicData>
            </a:graphic>
          </wp:anchor>
        </w:drawing>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r>
        <w:rPr>
          <w:rFonts w:ascii="Times New Roman" w:cs="Times New Roman" w:eastAsia="Times New Roman" w:hAnsi="Times New Roman"/>
          <w:sz w:val="21"/>
          <w:szCs w:val="2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-10795</wp:posOffset>
            </wp:positionV>
            <wp:extent cx="5374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4640" cy="137160"/>
                    </a:xfrm>
                    <a:prstGeom prst="rect">
                      <a:avLst/>
                    </a:prstGeom>
                    <a:noFill/>
                  </pic:spPr>
                </pic:pic>
              </a:graphicData>
            </a:graphic>
          </wp:anchor>
        </w:drawing>
      </w:r>
    </w:p>
    <w:p>
      <w:pPr>
        <w:ind w:left="1400"/>
        <w:spacing w:after="0"/>
        <w:rPr>
          <w:sz w:val="20"/>
          <w:szCs w:val="20"/>
          <w:color w:val="auto"/>
        </w:rPr>
      </w:pPr>
      <w:r>
        <w:rPr>
          <w:rFonts w:ascii="Times New Roman" w:cs="Times New Roman" w:eastAsia="Times New Roman" w:hAnsi="Times New Roman"/>
          <w:sz w:val="16"/>
          <w:szCs w:val="16"/>
          <w:color w:val="auto"/>
        </w:rPr>
        <w:t>ACT transaction considerations held in escrow (included in other receivables)</w:t>
      </w:r>
    </w:p>
    <w:p>
      <w:pPr>
        <w:spacing w:after="0" w:line="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Insighta transaction considerations held in escrow (included in other receivables)</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Digital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-116205</wp:posOffset>
            </wp:positionV>
            <wp:extent cx="53746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4640" cy="137160"/>
                    </a:xfrm>
                    <a:prstGeom prst="rect">
                      <a:avLst/>
                    </a:prstGeom>
                    <a:noFill/>
                  </pic:spPr>
                </pic:pic>
              </a:graphicData>
            </a:graphic>
          </wp:anchor>
        </w:drawing>
      </w:r>
    </w:p>
    <w:p>
      <w:pPr>
        <w:spacing w:after="0" w:line="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Adjusted liquidity (Non-IFRS)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6"/>
          <w:szCs w:val="16"/>
          <w:b w:val="1"/>
          <w:bCs w:val="1"/>
          <w:color w:val="auto"/>
        </w:rPr>
        <w:t>February 15,</w:t>
      </w:r>
    </w:p>
    <w:p>
      <w:pPr>
        <w:spacing w:after="0" w:line="30"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6"/>
          <w:szCs w:val="16"/>
          <w:b w:val="1"/>
          <w:bCs w:val="1"/>
          <w:i w:val="1"/>
          <w:i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1080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8"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4" w:lineRule="exact"/>
        <w:rPr>
          <w:sz w:val="20"/>
          <w:szCs w:val="20"/>
          <w:color w:val="auto"/>
        </w:rPr>
      </w:pPr>
    </w:p>
    <w:p>
      <w:pPr>
        <w:ind w:left="1167" w:hanging="1167"/>
        <w:spacing w:after="0"/>
        <w:tabs>
          <w:tab w:leader="none" w:pos="116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99,261</w:t>
      </w:r>
    </w:p>
    <w:p>
      <w:pPr>
        <w:spacing w:after="0" w:line="32" w:lineRule="exact"/>
        <w:rPr>
          <w:rFonts w:ascii="Times New Roman" w:cs="Times New Roman" w:eastAsia="Times New Roman" w:hAnsi="Times New Roman"/>
          <w:sz w:val="16"/>
          <w:szCs w:val="16"/>
          <w:color w:val="auto"/>
        </w:rPr>
      </w:pPr>
    </w:p>
    <w:p>
      <w:pPr>
        <w:ind w:left="116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29,344</w:t>
      </w:r>
    </w:p>
    <w:p>
      <w:pPr>
        <w:spacing w:after="0" w:line="32" w:lineRule="exact"/>
        <w:rPr>
          <w:rFonts w:ascii="Times New Roman" w:cs="Times New Roman" w:eastAsia="Times New Roman" w:hAnsi="Times New Roman"/>
          <w:sz w:val="16"/>
          <w:szCs w:val="16"/>
          <w:color w:val="auto"/>
        </w:rPr>
      </w:pPr>
    </w:p>
    <w:p>
      <w:pPr>
        <w:ind w:left="124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6,285</w:t>
      </w:r>
    </w:p>
    <w:p>
      <w:pPr>
        <w:spacing w:after="0" w:line="32" w:lineRule="exact"/>
        <w:rPr>
          <w:rFonts w:ascii="Times New Roman" w:cs="Times New Roman" w:eastAsia="Times New Roman" w:hAnsi="Times New Roman"/>
          <w:sz w:val="16"/>
          <w:szCs w:val="16"/>
          <w:color w:val="auto"/>
        </w:rPr>
      </w:pPr>
    </w:p>
    <w:p>
      <w:pPr>
        <w:ind w:left="124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w:t>
      </w:r>
    </w:p>
    <w:p>
      <w:pPr>
        <w:spacing w:after="0" w:line="32" w:lineRule="exact"/>
        <w:rPr>
          <w:rFonts w:ascii="Times New Roman" w:cs="Times New Roman" w:eastAsia="Times New Roman" w:hAnsi="Times New Roman"/>
          <w:sz w:val="16"/>
          <w:szCs w:val="16"/>
          <w:color w:val="auto"/>
        </w:rPr>
      </w:pPr>
    </w:p>
    <w:p>
      <w:pPr>
        <w:ind w:left="116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080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6" w:lineRule="exact"/>
        <w:rPr>
          <w:sz w:val="20"/>
          <w:szCs w:val="20"/>
          <w:color w:val="auto"/>
        </w:rPr>
      </w:pPr>
    </w:p>
    <w:p>
      <w:pPr>
        <w:ind w:left="1087" w:hanging="1087"/>
        <w:spacing w:after="0"/>
        <w:tabs>
          <w:tab w:leader="none" w:pos="10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171,116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080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46355</wp:posOffset>
            </wp:positionV>
            <wp:extent cx="10801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453" w:space="720"/>
            <w:col w:w="3067"/>
          </w:cols>
          <w:pgMar w:left="320" w:top="765" w:right="3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p>
    <w:p>
      <w:pPr>
        <w:ind w:left="80" w:hanging="72"/>
        <w:spacing w:after="0" w:line="203" w:lineRule="auto"/>
        <w:tabs>
          <w:tab w:leader="none" w:pos="80" w:val="left"/>
        </w:tabs>
        <w:numPr>
          <w:ilvl w:val="0"/>
          <w:numId w:val="1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26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7200" w:type="dxa"/>
        <w:tblCellMar>
          <w:top w:w="0" w:type="dxa"/>
          <w:left w:w="0" w:type="dxa"/>
          <w:bottom w:w="0" w:type="dxa"/>
          <w:right w:w="0" w:type="dxa"/>
        </w:tblCellMar>
      </w:tblPr>
      <w:tr>
        <w:trPr>
          <w:trHeight w:val="211"/>
        </w:trPr>
        <w:tc>
          <w:tcPr>
            <w:tcW w:w="20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bl>
    <w:p>
      <w:pPr>
        <w:spacing w:after="0" w:line="1" w:lineRule="exact"/>
        <w:rPr>
          <w:sz w:val="20"/>
          <w:szCs w:val="20"/>
          <w:color w:val="auto"/>
        </w:rPr>
      </w:pPr>
    </w:p>
    <w:p>
      <w:pPr>
        <w:sectPr>
          <w:pgSz w:w="11900" w:h="16838" w:orient="portrait"/>
          <w:cols w:equalWidth="0" w:num="1">
            <w:col w:w="11240"/>
          </w:cols>
          <w:pgMar w:left="320" w:top="765" w:right="339" w:bottom="1440" w:gutter="0" w:footer="0" w:header="0"/>
          <w:type w:val="continuous"/>
        </w:sectPr>
      </w:pP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Continuing operations</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Selling and marketing expenses</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Research and development expenses</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Administrative and other operating expenses</w:t>
      </w:r>
    </w:p>
    <w:p>
      <w:pPr>
        <w:spacing w:after="0" w:line="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60" w:type="dxa"/>
            <w:vAlign w:val="bottom"/>
          </w:tcPr>
          <w:p>
            <w:pPr>
              <w:spacing w:after="0"/>
              <w:rPr>
                <w:sz w:val="18"/>
                <w:szCs w:val="18"/>
                <w:color w:val="auto"/>
              </w:rPr>
            </w:pPr>
          </w:p>
        </w:tc>
      </w:tr>
      <w:tr>
        <w:trPr>
          <w:trHeight w:val="429"/>
        </w:trPr>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60" w:type="dxa"/>
            <w:vAlign w:val="bottom"/>
          </w:tcPr>
          <w:p>
            <w:pPr>
              <w:spacing w:after="0"/>
              <w:rPr>
                <w:sz w:val="18"/>
                <w:szCs w:val="18"/>
                <w:color w:val="auto"/>
              </w:rPr>
            </w:pPr>
          </w:p>
        </w:tc>
      </w:tr>
      <w:tr>
        <w:trPr>
          <w:trHeight w:val="219"/>
        </w:trPr>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60" w:type="dxa"/>
            <w:vAlign w:val="bottom"/>
          </w:tcPr>
          <w:p>
            <w:pPr>
              <w:spacing w:after="0"/>
              <w:rPr>
                <w:sz w:val="19"/>
                <w:szCs w:val="19"/>
                <w:color w:val="auto"/>
              </w:rPr>
            </w:pPr>
          </w:p>
        </w:tc>
      </w:tr>
      <w:tr>
        <w:trPr>
          <w:trHeight w:val="210"/>
        </w:trPr>
        <w:tc>
          <w:tcPr>
            <w:tcW w:w="1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60" w:type="dxa"/>
            <w:vAlign w:val="bottom"/>
          </w:tcPr>
          <w:p>
            <w:pPr>
              <w:spacing w:after="0"/>
              <w:rPr>
                <w:sz w:val="18"/>
                <w:szCs w:val="18"/>
                <w:color w:val="auto"/>
              </w:rPr>
            </w:pPr>
          </w:p>
        </w:tc>
      </w:tr>
      <w:tr>
        <w:trPr>
          <w:trHeight w:val="23"/>
        </w:trPr>
        <w:tc>
          <w:tcPr>
            <w:tcW w:w="1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571"/>
        </w:trPr>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08"/>
        </w:trPr>
        <w:tc>
          <w:tcPr>
            <w:tcW w:w="1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4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-1375410</wp:posOffset>
            </wp:positionV>
            <wp:extent cx="64033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0334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-1101090</wp:posOffset>
            </wp:positionV>
            <wp:extent cx="64033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0334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-826770</wp:posOffset>
            </wp:positionV>
            <wp:extent cx="64033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0334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00" w:space="720"/>
            <w:col w:w="5720"/>
          </w:cols>
          <w:pgMar w:left="320" w:top="765" w:right="339" w:bottom="1440" w:gutter="0" w:footer="0" w:header="0"/>
          <w:type w:val="continuous"/>
        </w:sectPr>
      </w:pPr>
    </w:p>
    <w:tbl>
      <w:tblPr>
        <w:tblLayout w:type="fixed"/>
        <w:tblInd w:w="520" w:type="dxa"/>
        <w:tblCellMar>
          <w:top w:w="0" w:type="dxa"/>
          <w:left w:w="0" w:type="dxa"/>
          <w:bottom w:w="0" w:type="dxa"/>
          <w:right w:w="0" w:type="dxa"/>
        </w:tblCellMar>
      </w:tblPr>
      <w:tr>
        <w:trPr>
          <w:trHeight w:val="214"/>
        </w:trPr>
        <w:tc>
          <w:tcPr>
            <w:tcW w:w="50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8"/>
        <w:spacing w:after="0" w:line="221" w:lineRule="auto"/>
        <w:tabs>
          <w:tab w:leader="none" w:pos="99" w:val="left"/>
        </w:tabs>
        <w:numPr>
          <w:ilvl w:val="0"/>
          <w:numId w:val="1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ACT Genomics Holdings Company Limited (“ACT Genomics”) is classified as discontinued operations in accordance with IFRS 5 </w:t>
      </w:r>
      <w:r>
        <w:rPr>
          <w:rFonts w:ascii="Times New Roman" w:cs="Times New Roman" w:eastAsia="Times New Roman" w:hAnsi="Times New Roman"/>
          <w:sz w:val="16"/>
          <w:szCs w:val="16"/>
          <w:i w:val="1"/>
          <w:iCs w:val="1"/>
          <w:color w:val="auto"/>
        </w:rPr>
        <w:t>Non-current Assets Held for Sale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Discontinued Operations </w:t>
      </w:r>
      <w:r>
        <w:rPr>
          <w:rFonts w:ascii="Times New Roman" w:cs="Times New Roman" w:eastAsia="Times New Roman" w:hAnsi="Times New Roman"/>
          <w:sz w:val="16"/>
          <w:szCs w:val="16"/>
          <w:color w:val="auto"/>
        </w:rPr>
        <w:t>(“IFRS 5”). In accordance with IFRS 5, the results of the discontinued operation have been presented separately from the continuing operations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consolidated statements of profit or loss and other comprehensive income.</w:t>
      </w:r>
    </w:p>
    <w:p>
      <w:pPr>
        <w:spacing w:after="0" w:line="224" w:lineRule="exact"/>
        <w:rPr>
          <w:sz w:val="20"/>
          <w:szCs w:val="20"/>
          <w:color w:val="auto"/>
        </w:rPr>
      </w:pPr>
    </w:p>
    <w:p>
      <w:pPr>
        <w:ind w:firstLine="8"/>
        <w:spacing w:after="0" w:line="217" w:lineRule="auto"/>
        <w:tabs>
          <w:tab w:leader="none" w:pos="108" w:val="left"/>
        </w:tabs>
        <w:numPr>
          <w:ilvl w:val="0"/>
          <w:numId w:val="18"/>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The valuation of financial assets at fair value through profit or loss has been determined based on the most recent available valuation information. Such valuations are preliminary and remain subject to final review and potential adjustment in connection with the completion of the Company’s annual audit.</w:t>
      </w:r>
    </w:p>
    <w:sectPr>
      <w:pgSz w:w="11900" w:h="16838" w:orient="portrait"/>
      <w:cols w:equalWidth="0" w:num="1">
        <w:col w:w="11240"/>
      </w:cols>
      <w:pgMar w:left="320" w:top="76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6"/>
      <w:numFmt w:val="bullet"/>
      <w:start w:val="1"/>
    </w:lvl>
  </w:abstractNum>
  <w:abstractNum w:abstractNumId="16">
    <w:nsid w:val="519B500D"/>
    <w:multiLevelType w:val="hybridMultilevel"/>
    <w:lvl w:ilvl="0">
      <w:lvlJc w:val="left"/>
      <w:lvlText w:val="7"/>
      <w:numFmt w:val="bullet"/>
      <w:start w:val="1"/>
    </w:lvl>
  </w:abstractNum>
  <w:abstractNum w:abstractNumId="17">
    <w:nsid w:val="431BD7B7"/>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2026-02-18T08:30:10Z</dcterms:created>
  <dcterms:modified xsi:type="dcterms:W3CDTF">2026-02-18T08:30:10Z</dcterms:modified>
</cp:coreProperties>
</file>