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73" w:lineRule="exact"/>
        <w:rPr>
          <w:sz w:val="24"/>
          <w:szCs w:val="24"/>
          <w:color w:val="auto"/>
        </w:rPr>
      </w:pPr>
    </w:p>
    <w:p>
      <w:pPr>
        <w:jc w:val="center"/>
        <w:ind w:right="-1019"/>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1019"/>
        <w:spacing w:after="0" w:line="215"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124460</wp:posOffset>
            </wp:positionV>
            <wp:extent cx="141478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780" cy="342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139065</wp:posOffset>
            </wp:positionV>
            <wp:extent cx="141478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4780" cy="342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019"/>
        <w:spacing w:after="0"/>
        <w:rPr>
          <w:sz w:val="20"/>
          <w:szCs w:val="20"/>
          <w:color w:val="auto"/>
        </w:rPr>
      </w:pPr>
      <w:r>
        <w:rPr>
          <w:rFonts w:ascii="Times New Roman" w:cs="Times New Roman" w:eastAsia="Times New Roman" w:hAnsi="Times New Roman"/>
          <w:sz w:val="22"/>
          <w:szCs w:val="22"/>
          <w:b w:val="1"/>
          <w:bCs w:val="1"/>
          <w:color w:val="auto"/>
        </w:rPr>
        <w:t>REPORT OF FOREIGN PRIVATE ISSUER PURSUANT TO RULE</w:t>
      </w:r>
    </w:p>
    <w:p>
      <w:pPr>
        <w:jc w:val="center"/>
        <w:ind w:right="-1019"/>
        <w:spacing w:after="0" w:line="204" w:lineRule="auto"/>
        <w:rPr>
          <w:sz w:val="20"/>
          <w:szCs w:val="20"/>
          <w:color w:val="auto"/>
        </w:rPr>
      </w:pPr>
      <w:r>
        <w:rPr>
          <w:rFonts w:ascii="Times New Roman" w:cs="Times New Roman" w:eastAsia="Times New Roman" w:hAnsi="Times New Roman"/>
          <w:sz w:val="22"/>
          <w:szCs w:val="22"/>
          <w:b w:val="1"/>
          <w:bCs w:val="1"/>
          <w:color w:val="auto"/>
        </w:rPr>
        <w:t>13a-16 OR 15d-16 UNDER</w:t>
      </w:r>
    </w:p>
    <w:p>
      <w:pPr>
        <w:spacing w:after="0" w:line="1" w:lineRule="exact"/>
        <w:rPr>
          <w:sz w:val="24"/>
          <w:szCs w:val="24"/>
          <w:color w:val="auto"/>
        </w:rPr>
      </w:pPr>
    </w:p>
    <w:p>
      <w:pPr>
        <w:jc w:val="center"/>
        <w:ind w:right="-101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20" w:lineRule="exact"/>
        <w:rPr>
          <w:sz w:val="24"/>
          <w:szCs w:val="24"/>
          <w:color w:val="auto"/>
        </w:rPr>
      </w:pPr>
    </w:p>
    <w:tbl>
      <w:tblPr>
        <w:tblLayout w:type="fixed"/>
        <w:tblInd w:w="1840" w:type="dxa"/>
        <w:tblCellMar>
          <w:top w:w="0" w:type="dxa"/>
          <w:left w:w="0" w:type="dxa"/>
          <w:bottom w:w="0" w:type="dxa"/>
          <w:right w:w="0" w:type="dxa"/>
        </w:tblCellMar>
      </w:tblPr>
      <w:tr>
        <w:trPr>
          <w:trHeight w:val="238"/>
        </w:trPr>
        <w:tc>
          <w:tcPr>
            <w:tcW w:w="1780" w:type="dxa"/>
            <w:vAlign w:val="bottom"/>
          </w:tcPr>
          <w:p>
            <w:pPr>
              <w:spacing w:after="0"/>
              <w:rPr>
                <w:sz w:val="20"/>
                <w:szCs w:val="20"/>
                <w:color w:val="auto"/>
              </w:rPr>
            </w:pPr>
          </w:p>
        </w:tc>
        <w:tc>
          <w:tcPr>
            <w:tcW w:w="6360" w:type="dxa"/>
            <w:vAlign w:val="bottom"/>
            <w:gridSpan w:val="3"/>
          </w:tcPr>
          <w:p>
            <w:pPr>
              <w:jc w:val="center"/>
              <w:ind w:right="2270"/>
              <w:spacing w:after="0"/>
              <w:rPr>
                <w:sz w:val="20"/>
                <w:szCs w:val="20"/>
                <w:color w:val="auto"/>
              </w:rPr>
            </w:pPr>
            <w:r>
              <w:rPr>
                <w:rFonts w:ascii="Times New Roman" w:cs="Times New Roman" w:eastAsia="Times New Roman" w:hAnsi="Times New Roman"/>
                <w:sz w:val="18"/>
                <w:szCs w:val="18"/>
                <w:b w:val="1"/>
                <w:bCs w:val="1"/>
                <w:color w:val="auto"/>
              </w:rPr>
              <w:t>For the month of November 2024</w:t>
            </w:r>
          </w:p>
        </w:tc>
        <w:tc>
          <w:tcPr>
            <w:tcW w:w="0" w:type="dxa"/>
            <w:vAlign w:val="bottom"/>
          </w:tcPr>
          <w:p>
            <w:pPr>
              <w:spacing w:after="0"/>
              <w:rPr>
                <w:sz w:val="1"/>
                <w:szCs w:val="1"/>
                <w:color w:val="auto"/>
              </w:rPr>
            </w:pPr>
          </w:p>
        </w:tc>
      </w:tr>
      <w:tr>
        <w:trPr>
          <w:trHeight w:val="364"/>
        </w:trPr>
        <w:tc>
          <w:tcPr>
            <w:tcW w:w="1780" w:type="dxa"/>
            <w:vAlign w:val="bottom"/>
          </w:tcPr>
          <w:p>
            <w:pPr>
              <w:spacing w:after="0"/>
              <w:rPr>
                <w:sz w:val="24"/>
                <w:szCs w:val="24"/>
                <w:color w:val="auto"/>
              </w:rPr>
            </w:pPr>
          </w:p>
        </w:tc>
        <w:tc>
          <w:tcPr>
            <w:tcW w:w="6360" w:type="dxa"/>
            <w:vAlign w:val="bottom"/>
            <w:gridSpan w:val="3"/>
          </w:tcPr>
          <w:p>
            <w:pPr>
              <w:jc w:val="center"/>
              <w:ind w:right="2270"/>
              <w:spacing w:after="0"/>
              <w:rPr>
                <w:sz w:val="20"/>
                <w:szCs w:val="20"/>
                <w:color w:val="auto"/>
              </w:rPr>
            </w:pPr>
            <w:r>
              <w:rPr>
                <w:rFonts w:ascii="Times New Roman" w:cs="Times New Roman" w:eastAsia="Times New Roman" w:hAnsi="Times New Roman"/>
                <w:sz w:val="18"/>
                <w:szCs w:val="18"/>
                <w:b w:val="1"/>
                <w:bCs w:val="1"/>
                <w:color w:val="auto"/>
              </w:rPr>
              <w:t>Commission File Number 001-41401</w:t>
            </w:r>
          </w:p>
        </w:tc>
        <w:tc>
          <w:tcPr>
            <w:tcW w:w="0" w:type="dxa"/>
            <w:vAlign w:val="bottom"/>
          </w:tcPr>
          <w:p>
            <w:pPr>
              <w:spacing w:after="0"/>
              <w:rPr>
                <w:sz w:val="1"/>
                <w:szCs w:val="1"/>
                <w:color w:val="auto"/>
              </w:rPr>
            </w:pPr>
          </w:p>
        </w:tc>
      </w:tr>
      <w:tr>
        <w:trPr>
          <w:trHeight w:val="223"/>
        </w:trPr>
        <w:tc>
          <w:tcPr>
            <w:tcW w:w="17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3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8"/>
        </w:trPr>
        <w:tc>
          <w:tcPr>
            <w:tcW w:w="1780" w:type="dxa"/>
            <w:vAlign w:val="bottom"/>
          </w:tcPr>
          <w:p>
            <w:pPr>
              <w:spacing w:after="0"/>
              <w:rPr>
                <w:sz w:val="24"/>
                <w:szCs w:val="24"/>
                <w:color w:val="auto"/>
              </w:rPr>
            </w:pPr>
          </w:p>
        </w:tc>
        <w:tc>
          <w:tcPr>
            <w:tcW w:w="6360" w:type="dxa"/>
            <w:vAlign w:val="bottom"/>
            <w:gridSpan w:val="3"/>
          </w:tcPr>
          <w:p>
            <w:pPr>
              <w:jc w:val="center"/>
              <w:ind w:right="2250"/>
              <w:spacing w:after="0"/>
              <w:rPr>
                <w:sz w:val="20"/>
                <w:szCs w:val="20"/>
                <w:color w:val="auto"/>
              </w:rPr>
            </w:pPr>
            <w:r>
              <w:rPr>
                <w:rFonts w:ascii="Times New Roman" w:cs="Times New Roman" w:eastAsia="Times New Roman" w:hAnsi="Times New Roman"/>
                <w:sz w:val="32"/>
                <w:szCs w:val="32"/>
                <w:b w:val="1"/>
                <w:bCs w:val="1"/>
                <w:color w:val="auto"/>
              </w:rPr>
              <w:t>Prenetics Global Limited</w:t>
            </w:r>
          </w:p>
        </w:tc>
        <w:tc>
          <w:tcPr>
            <w:tcW w:w="0" w:type="dxa"/>
            <w:vAlign w:val="bottom"/>
          </w:tcPr>
          <w:p>
            <w:pPr>
              <w:spacing w:after="0"/>
              <w:rPr>
                <w:sz w:val="1"/>
                <w:szCs w:val="1"/>
                <w:color w:val="auto"/>
              </w:rPr>
            </w:pPr>
          </w:p>
        </w:tc>
      </w:tr>
      <w:tr>
        <w:trPr>
          <w:trHeight w:val="192"/>
        </w:trPr>
        <w:tc>
          <w:tcPr>
            <w:tcW w:w="1780" w:type="dxa"/>
            <w:vAlign w:val="bottom"/>
            <w:vMerge w:val="restart"/>
          </w:tcPr>
          <w:p>
            <w:pPr>
              <w:jc w:val="center"/>
              <w:ind w:right="195"/>
              <w:spacing w:after="0"/>
              <w:rPr>
                <w:sz w:val="20"/>
                <w:szCs w:val="20"/>
                <w:color w:val="auto"/>
              </w:rPr>
            </w:pPr>
            <w:r>
              <w:rPr>
                <w:rFonts w:ascii="Times New Roman" w:cs="Times New Roman" w:eastAsia="Times New Roman" w:hAnsi="Times New Roman"/>
                <w:sz w:val="17"/>
                <w:szCs w:val="17"/>
                <w:b w:val="1"/>
                <w:bCs w:val="1"/>
                <w:color w:val="auto"/>
                <w:w w:val="99"/>
              </w:rPr>
              <w:t>11401 Granite St.</w:t>
            </w:r>
          </w:p>
        </w:tc>
        <w:tc>
          <w:tcPr>
            <w:tcW w:w="860" w:type="dxa"/>
            <w:vAlign w:val="bottom"/>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3260" w:type="dxa"/>
            <w:vAlign w:val="bottom"/>
            <w:vMerge w:val="restart"/>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8"/>
              </w:rPr>
              <w:t>Unit 703-706, K11 Atelier</w:t>
            </w:r>
          </w:p>
        </w:tc>
        <w:tc>
          <w:tcPr>
            <w:tcW w:w="0" w:type="dxa"/>
            <w:vAlign w:val="bottom"/>
          </w:tcPr>
          <w:p>
            <w:pPr>
              <w:spacing w:after="0"/>
              <w:rPr>
                <w:sz w:val="1"/>
                <w:szCs w:val="1"/>
                <w:color w:val="auto"/>
              </w:rPr>
            </w:pPr>
          </w:p>
        </w:tc>
      </w:tr>
      <w:tr>
        <w:trPr>
          <w:trHeight w:val="486"/>
        </w:trPr>
        <w:tc>
          <w:tcPr>
            <w:tcW w:w="178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780" w:type="dxa"/>
            <w:vAlign w:val="bottom"/>
          </w:tcPr>
          <w:p>
            <w:pPr>
              <w:jc w:val="center"/>
              <w:ind w:right="195"/>
              <w:spacing w:after="0" w:line="176" w:lineRule="exact"/>
              <w:rPr>
                <w:sz w:val="20"/>
                <w:szCs w:val="20"/>
                <w:color w:val="auto"/>
              </w:rPr>
            </w:pPr>
            <w:r>
              <w:rPr>
                <w:rFonts w:ascii="Times New Roman" w:cs="Times New Roman" w:eastAsia="Times New Roman" w:hAnsi="Times New Roman"/>
                <w:sz w:val="17"/>
                <w:szCs w:val="17"/>
                <w:b w:val="1"/>
                <w:bCs w:val="1"/>
                <w:color w:val="auto"/>
              </w:rPr>
              <w:t>Charlotte, NC 28273</w:t>
            </w:r>
          </w:p>
        </w:tc>
        <w:tc>
          <w:tcPr>
            <w:tcW w:w="8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3260" w:type="dxa"/>
            <w:vAlign w:val="bottom"/>
          </w:tcPr>
          <w:p>
            <w:pPr>
              <w:jc w:val="center"/>
              <w:ind w:left="870"/>
              <w:spacing w:after="0" w:line="176" w:lineRule="exact"/>
              <w:rPr>
                <w:sz w:val="20"/>
                <w:szCs w:val="20"/>
                <w:color w:val="auto"/>
              </w:rPr>
            </w:pPr>
            <w:r>
              <w:rPr>
                <w:rFonts w:ascii="Times New Roman" w:cs="Times New Roman" w:eastAsia="Times New Roman" w:hAnsi="Times New Roman"/>
                <w:sz w:val="18"/>
                <w:szCs w:val="18"/>
                <w:b w:val="1"/>
                <w:bCs w:val="1"/>
                <w:color w:val="auto"/>
              </w:rPr>
              <w:t>728 King’s Road, Quarry Bay</w:t>
            </w:r>
          </w:p>
        </w:tc>
        <w:tc>
          <w:tcPr>
            <w:tcW w:w="0" w:type="dxa"/>
            <w:vAlign w:val="bottom"/>
          </w:tcPr>
          <w:p>
            <w:pPr>
              <w:spacing w:after="0"/>
              <w:rPr>
                <w:sz w:val="1"/>
                <w:szCs w:val="1"/>
                <w:color w:val="auto"/>
              </w:rPr>
            </w:pPr>
          </w:p>
        </w:tc>
      </w:tr>
      <w:tr>
        <w:trPr>
          <w:trHeight w:val="238"/>
        </w:trPr>
        <w:tc>
          <w:tcPr>
            <w:tcW w:w="1780" w:type="dxa"/>
            <w:vAlign w:val="bottom"/>
          </w:tcPr>
          <w:p>
            <w:pPr>
              <w:jc w:val="center"/>
              <w:ind w:right="195"/>
              <w:spacing w:after="0"/>
              <w:rPr>
                <w:sz w:val="20"/>
                <w:szCs w:val="20"/>
                <w:color w:val="auto"/>
              </w:rPr>
            </w:pPr>
            <w:r>
              <w:rPr>
                <w:rFonts w:ascii="Times New Roman" w:cs="Times New Roman" w:eastAsia="Times New Roman" w:hAnsi="Times New Roman"/>
                <w:sz w:val="17"/>
                <w:szCs w:val="17"/>
                <w:b w:val="1"/>
                <w:bCs w:val="1"/>
                <w:color w:val="auto"/>
                <w:w w:val="99"/>
              </w:rPr>
              <w:t>USA</w:t>
            </w:r>
          </w:p>
        </w:tc>
        <w:tc>
          <w:tcPr>
            <w:tcW w:w="8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26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rPr>
              <w:t>Hong Kong</w:t>
            </w:r>
          </w:p>
        </w:tc>
        <w:tc>
          <w:tcPr>
            <w:tcW w:w="0" w:type="dxa"/>
            <w:vAlign w:val="bottom"/>
          </w:tcPr>
          <w:p>
            <w:pPr>
              <w:spacing w:after="0"/>
              <w:rPr>
                <w:sz w:val="1"/>
                <w:szCs w:val="1"/>
                <w:color w:val="auto"/>
              </w:rPr>
            </w:pPr>
          </w:p>
        </w:tc>
      </w:tr>
      <w:tr>
        <w:trPr>
          <w:trHeight w:val="531"/>
        </w:trPr>
        <w:tc>
          <w:tcPr>
            <w:tcW w:w="1780" w:type="dxa"/>
            <w:vAlign w:val="bottom"/>
          </w:tcPr>
          <w:p>
            <w:pPr>
              <w:spacing w:after="0"/>
              <w:rPr>
                <w:sz w:val="24"/>
                <w:szCs w:val="24"/>
                <w:color w:val="auto"/>
              </w:rPr>
            </w:pPr>
          </w:p>
        </w:tc>
        <w:tc>
          <w:tcPr>
            <w:tcW w:w="6360" w:type="dxa"/>
            <w:vAlign w:val="bottom"/>
            <w:gridSpan w:val="3"/>
          </w:tcPr>
          <w:p>
            <w:pPr>
              <w:jc w:val="center"/>
              <w:ind w:right="2270"/>
              <w:spacing w:after="0"/>
              <w:rPr>
                <w:sz w:val="20"/>
                <w:szCs w:val="20"/>
                <w:color w:val="auto"/>
              </w:rPr>
            </w:pPr>
            <w:r>
              <w:rPr>
                <w:rFonts w:ascii="Times New Roman" w:cs="Times New Roman" w:eastAsia="Times New Roman" w:hAnsi="Times New Roman"/>
                <w:sz w:val="18"/>
                <w:szCs w:val="18"/>
                <w:color w:val="auto"/>
                <w:w w:val="99"/>
              </w:rPr>
              <w:t>(Addresses of principal executive offices)</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 Form 20-F 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20"/>
          </w:cols>
          <w:pgMar w:left="320" w:top="1440" w:right="135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INCORPORATION BY REFERENCE</w:t>
      </w:r>
    </w:p>
    <w:p>
      <w:pPr>
        <w:spacing w:after="0" w:line="23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20"/>
          <w:szCs w:val="20"/>
          <w:color w:val="auto"/>
        </w:rPr>
        <w:t>This Report on Form 6-K (this “Report”), shall be deemed to be incorporated by reference into the registration statements on Form F-3 (File nos. 333-274762 and 333-276538) and Form S-8 (File Nos. 333-279019, 333-271552 and 333-267956) of Prenetics Global Limited (the "Company") (including any prospectuses forming a part of such registration statements) and to be a part thereof from the date on which this Report is furnished, to the extent not superseded by documents or reports subsequently filed or furnished.</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DISCLOSURE OF RESULTS OF OPERATIONS</w:t>
      </w:r>
    </w:p>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Company hereby furnishes the press release announcing its unaudited financial results for the third quarter ended September 30, 2024, which is attached hereto as Exhibit 99.1.</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960" w:type="dxa"/>
            <w:vAlign w:val="bottom"/>
            <w:gridSpan w:val="2"/>
          </w:tcPr>
          <w:p>
            <w:pPr>
              <w:ind w:left="3180"/>
              <w:spacing w:after="0"/>
              <w:rPr>
                <w:sz w:val="20"/>
                <w:szCs w:val="20"/>
                <w:color w:val="auto"/>
              </w:rPr>
            </w:pPr>
            <w:r>
              <w:rPr>
                <w:rFonts w:ascii="Times New Roman" w:cs="Times New Roman" w:eastAsia="Times New Roman" w:hAnsi="Times New Roman"/>
                <w:sz w:val="20"/>
                <w:szCs w:val="20"/>
                <w:b w:val="1"/>
                <w:bCs w:val="1"/>
                <w:color w:val="auto"/>
              </w:rPr>
              <w:t>EXHIBIT INDEX</w:t>
            </w:r>
          </w:p>
        </w:tc>
      </w:tr>
      <w:tr>
        <w:trPr>
          <w:trHeight w:val="487"/>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20" w:type="dxa"/>
            <w:vAlign w:val="bottom"/>
          </w:tcPr>
          <w:p>
            <w:pPr>
              <w:spacing w:after="0"/>
              <w:rPr>
                <w:sz w:val="24"/>
                <w:szCs w:val="24"/>
                <w:color w:val="auto"/>
              </w:rPr>
            </w:pPr>
          </w:p>
        </w:tc>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89"/>
        </w:trPr>
        <w:tc>
          <w:tcPr>
            <w:tcW w:w="1420" w:type="dxa"/>
            <w:vAlign w:val="bottom"/>
            <w:tcBorders>
              <w:top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5320" w:type="dxa"/>
            <w:vAlign w:val="bottom"/>
            <w:tcBorders>
              <w:top w:val="single" w:sz="8" w:color="auto"/>
              <w:bottom w:val="single" w:sz="8" w:color="0000FF"/>
            </w:tcBorders>
          </w:tcPr>
          <w:p>
            <w:pPr>
              <w:spacing w:after="0" w:line="189" w:lineRule="exact"/>
              <w:rPr>
                <w:sz w:val="20"/>
                <w:szCs w:val="20"/>
                <w:color w:val="auto"/>
              </w:rPr>
            </w:pPr>
            <w:r>
              <w:rPr>
                <w:rFonts w:ascii="Times New Roman" w:cs="Times New Roman" w:eastAsia="Times New Roman" w:hAnsi="Times New Roman"/>
                <w:sz w:val="18"/>
                <w:szCs w:val="18"/>
                <w:color w:val="0000FF"/>
                <w:w w:val="99"/>
              </w:rPr>
              <w:t>Press release - Prenetics Announces Third Quarter 2024 Financial Results</w:t>
            </w:r>
          </w:p>
        </w:tc>
        <w:tc>
          <w:tcPr>
            <w:tcW w:w="3640" w:type="dxa"/>
            <w:vAlign w:val="bottom"/>
            <w:tcBorders>
              <w:top w:val="single" w:sz="8" w:color="auto"/>
            </w:tcBorders>
          </w:tcPr>
          <w:p>
            <w:pPr>
              <w:spacing w:after="0"/>
              <w:rPr>
                <w:sz w:val="16"/>
                <w:szCs w:val="16"/>
                <w:color w:val="auto"/>
              </w:rPr>
            </w:pPr>
          </w:p>
        </w:tc>
      </w:tr>
    </w:tbl>
    <w:p>
      <w:pPr>
        <w:sectPr>
          <w:pgSz w:w="11900" w:h="16838" w:orient="portrait"/>
          <w:cols w:equalWidth="0" w:num="1">
            <w:col w:w="11240"/>
          </w:cols>
          <w:pgMar w:left="320" w:top="139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62" w:lineRule="exact"/>
        <w:rPr>
          <w:sz w:val="20"/>
          <w:szCs w:val="20"/>
          <w:color w:val="auto"/>
        </w:rPr>
      </w:pPr>
    </w:p>
    <w:p>
      <w:pPr>
        <w:ind w:right="320" w:firstLine="648"/>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5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Prenetics Global Limited</w:t>
      </w:r>
    </w:p>
    <w:p>
      <w:pPr>
        <w:spacing w:after="0" w:line="256" w:lineRule="exact"/>
        <w:rPr>
          <w:sz w:val="20"/>
          <w:szCs w:val="20"/>
          <w:color w:val="auto"/>
        </w:rPr>
      </w:pPr>
    </w:p>
    <w:tbl>
      <w:tblPr>
        <w:tblLayout w:type="fixed"/>
        <w:tblInd w:w="558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Lo Hoi Chun</w:t>
            </w:r>
          </w:p>
        </w:tc>
      </w:tr>
      <w:tr>
        <w:trPr>
          <w:trHeight w:val="2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 Hoi Chun</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27, 2024</w:t>
      </w:r>
    </w:p>
    <w:p>
      <w:pPr>
        <w:sectPr>
          <w:pgSz w:w="11900" w:h="16838" w:orient="portrait"/>
          <w:cols w:equalWidth="0" w:num="1">
            <w:col w:w="11240"/>
          </w:cols>
          <w:pgMar w:left="320" w:top="14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25905" cy="6083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525905" cy="608330"/>
                    </a:xfrm>
                    <a:prstGeom prst="rect">
                      <a:avLst/>
                    </a:prstGeom>
                    <a:noFill/>
                  </pic:spPr>
                </pic:pic>
              </a:graphicData>
            </a:graphic>
          </wp:anchor>
        </w:drawing>
        <w:t>Prenetics Announces Third Quarter 2024 Financial Results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Revenue Grew 59.4% to $7.8 million from Prior Year and 30.9% Sequentially</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Officially Launched IM8Health.com, a new premium supplements brand</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Tencent Invests $30 million in Insighta’s Early Cancer Detection</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Reiterates Revenue Target to Exceed $33 million for FY 2024</w:t>
      </w:r>
    </w:p>
    <w:p>
      <w:pPr>
        <w:spacing w:after="0" w:line="23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CHARLOTTE, N.C., November 27, 2024 – </w:t>
      </w:r>
      <w:r>
        <w:rPr>
          <w:rFonts w:ascii="Times New Roman" w:cs="Times New Roman" w:eastAsia="Times New Roman" w:hAnsi="Times New Roman"/>
          <w:sz w:val="18"/>
          <w:szCs w:val="18"/>
          <w:color w:val="auto"/>
        </w:rPr>
        <w:t>Prenetics Global Limited (NASDAQ: PRE) (“Prenetics” or the “Company”), a leading health sciences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today announced unaudited financial results for the third quarter ended September 30, 2024, along with recent business updates.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2024 Financial Highlights</w:t>
      </w:r>
    </w:p>
    <w:p>
      <w:pPr>
        <w:spacing w:after="0" w:line="15"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continuing operations of $7.8 million, as compared to $4.9 million in the third quarter 2023, an increase of 59.4%</w:t>
      </w:r>
      <w:r>
        <w:rPr>
          <w:rFonts w:ascii="Times New Roman" w:cs="Times New Roman" w:eastAsia="Times New Roman" w:hAnsi="Times New Roman"/>
          <w:sz w:val="18"/>
          <w:szCs w:val="18"/>
          <w:i w:val="1"/>
          <w:iCs w:val="1"/>
          <w:color w:val="auto"/>
        </w:rPr>
        <w:t>.</w:t>
      </w:r>
    </w:p>
    <w:p>
      <w:pPr>
        <w:ind w:left="660" w:hanging="328"/>
        <w:spacing w:after="0" w:line="23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from continuing operations of $3.9 million, as compared to $1.7 million in the third quarter of 2023, an increase of 138.6%.</w:t>
      </w:r>
    </w:p>
    <w:p>
      <w:pPr>
        <w:ind w:left="660" w:hanging="328"/>
        <w:spacing w:after="0" w:line="234"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of continuing operations increased to 50.8% from 33.9% in the third quarter 2023, driven by operational efficiencies, better pricing strategies, and cost optimization measures.</w:t>
      </w:r>
    </w:p>
    <w:p>
      <w:pPr>
        <w:spacing w:after="0" w:line="1" w:lineRule="exact"/>
        <w:rPr>
          <w:rFonts w:ascii="Times New Roman" w:cs="Times New Roman" w:eastAsia="Times New Roman" w:hAnsi="Times New Roman"/>
          <w:sz w:val="18"/>
          <w:szCs w:val="18"/>
          <w:color w:val="auto"/>
        </w:rPr>
      </w:pPr>
    </w:p>
    <w:p>
      <w:pPr>
        <w:ind w:left="660" w:hanging="328"/>
        <w:spacing w:after="0" w:line="183"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loss from continuing operations of $5.8 million, an improvement compared to $6.1 million in the third quarter 2023.</w:t>
      </w:r>
    </w:p>
    <w:p>
      <w:pPr>
        <w:ind w:left="660" w:hanging="328"/>
        <w:spacing w:after="0" w:line="183"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other short-term assets</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of $69.1 million and debt-free as of September 30, 2024.</w:t>
      </w:r>
    </w:p>
    <w:p>
      <w:pPr>
        <w:ind w:left="660" w:hanging="328"/>
        <w:spacing w:after="0" w:line="21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Insighta</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our early cancer detection venture with Professor Dennis Lo, had a cash balance of $81.6 million on its balance sheet and debt-free as of September 30, 2024.</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2024 and Subsequent Operational Updates</w:t>
      </w:r>
    </w:p>
    <w:p>
      <w:pPr>
        <w:spacing w:after="0" w:line="20" w:lineRule="exact"/>
        <w:rPr>
          <w:sz w:val="20"/>
          <w:szCs w:val="20"/>
          <w:color w:val="auto"/>
        </w:rPr>
      </w:pPr>
    </w:p>
    <w:p>
      <w:pPr>
        <w:ind w:left="660" w:hanging="328"/>
        <w:spacing w:after="0" w:line="234"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launched IM8health.com on November 18, 2024 and shipping to 31 countries and regions. Initial customer response has been very positive.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29"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the acquisition of Europa Sports Partners: Established Prenetics' U.S. headquarters in Charlotte, NC. Europa, along with its third-party logistics arm Hubmatrix, supported IM8's U.S. launch while undergoing a digital transformation focused on advanced consumer technologies and digital strategies.</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Consummated Tencent's $30 million strategic investment in Insighta: Collaboration with Tencent leverages their AI resources and healthcare expertise to advance early cancer detection through venture business Insighta.</w:t>
      </w:r>
    </w:p>
    <w:p>
      <w:pPr>
        <w:spacing w:after="0" w:line="1" w:lineRule="exact"/>
        <w:rPr>
          <w:rFonts w:ascii="Times New Roman" w:cs="Times New Roman" w:eastAsia="Times New Roman" w:hAnsi="Times New Roman"/>
          <w:sz w:val="18"/>
          <w:szCs w:val="18"/>
          <w:color w:val="auto"/>
        </w:rPr>
      </w:pPr>
    </w:p>
    <w:p>
      <w:pPr>
        <w:ind w:left="660" w:right="20" w:hanging="328"/>
        <w:spacing w:after="0" w:line="234"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short-term assets increased to approximately $98 million: Tencent’s $30 million secondary investment, boosted cash and other short-term assets.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CircleDNA and ACT Genomics are on track to achieve business-unit breakeven by the second half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714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48" w:lineRule="exact"/>
        <w:rPr>
          <w:sz w:val="20"/>
          <w:szCs w:val="20"/>
          <w:color w:val="auto"/>
        </w:rPr>
      </w:pPr>
    </w:p>
    <w:p>
      <w:pPr>
        <w:jc w:val="both"/>
        <w:ind w:firstLine="8"/>
        <w:spacing w:after="0" w:line="239" w:lineRule="auto"/>
        <w:tabs>
          <w:tab w:leader="none" w:pos="100"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Adjusted EBITDA is defined as loss from operations excluding (1) employee equity-settled share-based payment expenses, (2) depreciation and amortization, (3) amortization of deferred expenses, (4) acquisition and transaction-related costs, (5) strategic realignment and discontinued products impact, and (6) finance income and exchange gain or loss, net. These adjustments are made for items that may not be indicative of our business performance, including non-cash and/or non-recurring items.</w:t>
      </w:r>
    </w:p>
    <w:p>
      <w:pPr>
        <w:spacing w:after="0" w:line="1" w:lineRule="exact"/>
        <w:rPr>
          <w:rFonts w:ascii="Times New Roman" w:cs="Times New Roman" w:eastAsia="Times New Roman" w:hAnsi="Times New Roman"/>
          <w:sz w:val="19"/>
          <w:szCs w:val="19"/>
          <w:color w:val="auto"/>
          <w:vertAlign w:val="superscript"/>
        </w:rPr>
      </w:pPr>
    </w:p>
    <w:p>
      <w:pPr>
        <w:ind w:right="20"/>
        <w:spacing w:after="0" w:line="204"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Represents current assets, including cash and cash equivalents totaling $31.9 million, financial assets at fair value through profit or loss of $10.9 million, and trade receivables of $5.7 million, amongst other accounting line items under current assets as of September 30, 2024.</w:t>
      </w:r>
    </w:p>
    <w:p>
      <w:pPr>
        <w:spacing w:after="0" w:line="1" w:lineRule="exact"/>
        <w:rPr>
          <w:rFonts w:ascii="Times New Roman" w:cs="Times New Roman" w:eastAsia="Times New Roman" w:hAnsi="Times New Roman"/>
          <w:sz w:val="19"/>
          <w:szCs w:val="19"/>
          <w:color w:val="auto"/>
          <w:vertAlign w:val="superscript"/>
        </w:rPr>
      </w:pPr>
    </w:p>
    <w:p>
      <w:pPr>
        <w:spacing w:after="0" w:line="258"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9"/>
          <w:szCs w:val="9"/>
          <w:color w:val="auto"/>
        </w:rPr>
        <w:t xml:space="preserve">3 </w:t>
      </w:r>
      <w:r>
        <w:rPr>
          <w:rFonts w:ascii="Times New Roman" w:cs="Times New Roman" w:eastAsia="Times New Roman" w:hAnsi="Times New Roman"/>
          <w:sz w:val="14"/>
          <w:szCs w:val="14"/>
          <w:color w:val="auto"/>
        </w:rPr>
        <w:t>As of September 30, 2024, we owned 50% shareholding in Insighta, which was accounted for under equity-accounted investee. Equity-accounted investees, totaling $97.6 million as of</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4"/>
          <w:szCs w:val="14"/>
          <w:color w:val="auto"/>
        </w:rPr>
        <w:t>September 30, 2024, were classified as non-current assets on our balance sheet.</w:t>
      </w:r>
    </w:p>
    <w:p>
      <w:pPr>
        <w:sectPr>
          <w:pgSz w:w="11900" w:h="16838" w:orient="portrait"/>
          <w:cols w:equalWidth="0" w:num="1">
            <w:col w:w="11240"/>
          </w:cols>
          <w:pgMar w:left="320" w:top="139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Danny Yeung, Chief Executive Officer and Co-Founder, remarked: “I am incredibly proud of our team's execution and the strides we've made in launching IM8 Health, a brand that fills a significant unmet need in the health and wellness market with science-backed premium supplements supported by clinical trials and third-party testing. This launch represents a pivotal moment in our growth strategy, reflecting our commitment to innovation and consumer trust. These efforts have also been supported by a strong third quarter, with 59.4% year-over-year revenue growth and 30.9% growth from the second quarter. Improved gross margins further highlight our focus on operational excellence and cost optimization, even as we invest in structuring the Company for IM8’s success—including the strategic acquisition of Europa to support our US expansion.”</w:t>
      </w:r>
    </w:p>
    <w:p>
      <w:pPr>
        <w:spacing w:after="0" w:line="20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Mr. Yeung continued, “With Tencent’s $30 million investment to purchase secondary shares, Insighta’s valuation of $200 million has been validated, further strengthening our financial position. This strategic collaboration will enhance our early cancer detection and diagnostic capabilities by leveraging AI and positions us for future growth. As we approach the close of 2024, we are energized by the growth opportunities arising from our strategic pivot to the US market and are confident in surpassing our FY 2024 revenue target of $33 million. IM8 is not just another launch—it’s the start of a transformative journey in consumer health, built on science, innovation, and trust, and we remain committed to driving additional value for our shareholders.”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Prenetics</w:t>
      </w:r>
    </w:p>
    <w:p>
      <w:pPr>
        <w:spacing w:after="0" w:line="2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 xml:space="preserve">Prenetics (NASDAQ:PRE), a leading health sciences company, is dedicated to advancing consumer and clinical health. Our consumer initiative is led by IM8, a new health and wellness brand and Europa, one of the largest sports distribution companies in the USA. Our clinical division is led by Insighta, our $200 million venture focused on multi-cancer early detection technologies. This is followed by ACT Genomics, which has achieved FDA clearance for comprehensive genomic profiling of solid tumors, and CircleDNA, which uses NGS to offer comprehensive DNA tests. Each of Prenetics’ units synergistically enhances our global impact on health, embodying our commitment to ‘enhancing life through science’. To learn more about Prenetics, please visit </w:t>
      </w:r>
      <w:r>
        <w:rPr>
          <w:rFonts w:ascii="Times New Roman" w:cs="Times New Roman" w:eastAsia="Times New Roman" w:hAnsi="Times New Roman"/>
          <w:sz w:val="18"/>
          <w:szCs w:val="18"/>
          <w:color w:val="0000FF"/>
        </w:rPr>
        <w:t>prenetics.com</w:t>
      </w:r>
      <w:r>
        <w:rPr>
          <w:rFonts w:ascii="Times New Roman" w:cs="Times New Roman" w:eastAsia="Times New Roman" w:hAnsi="Times New Roman"/>
          <w:sz w:val="18"/>
          <w:szCs w:val="18"/>
          <w:color w:val="auto"/>
        </w:rPr>
        <w: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This press release contains forward-looking statements. These statements are made under the “safe harbor” provisions of the U.S. Private Securities Litigation Reform Act of 1995. Statements that are not historical facts, including statements about the Company’s goals, targets, projections, outlooks, beliefs, expectations, strategy, plans, objectives of management for future operations of the Company, and growth opportunities are forward-looking statements. In some cases, forward-looking statements can be identified by words or phrases such as “may,” “will,” “expect,” “anticipate,” “target,” “aim,” “estimate,” “intend,” “plan,” “believe,” “potential,” “continue,” “is/are likely to” or other similar expressions. Forward-looking statements are based upon estimates and forecasts and reflect the views, assumptions, expectations, and opinions of the Company, which involve inherent risks and uncertainties, therefore they should not be relied upon as being necessarily indicative of future results. A number of factors could cause actual results to differ materially from those contained in any forward-looking statement, including but not limited to: the Company’s ability to further develop and grow its business, including new products and services; its ability to execute on its new business strategy in genomics, precision oncology, and specifically, early detection for cancer; the results of case control studies and/or clinical trials; and its ability to identify and execute on M&amp;A opportunities, especially in precision oncology. In addition to the foregoing factors, you should also carefully consider the other risks and uncertainties described in the “Risk Factors” section of the Company’s most recent registration statement and the prospectus therein, and the other documents filed by the Company from time to time with the U.S. Securities and Exchange Commission. All information provided in this press release is as of the date of this press release, and the Company does not undertake any duty to update such information, except as required under applicable law.</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investors@prenetics.com</w:t>
      </w:r>
    </w:p>
    <w:p>
      <w:pPr>
        <w:spacing w:after="0"/>
        <w:rPr>
          <w:sz w:val="20"/>
          <w:szCs w:val="20"/>
          <w:color w:val="auto"/>
        </w:rPr>
      </w:pPr>
      <w:r>
        <w:rPr>
          <w:rFonts w:ascii="Times New Roman" w:cs="Times New Roman" w:eastAsia="Times New Roman" w:hAnsi="Times New Roman"/>
          <w:sz w:val="18"/>
          <w:szCs w:val="18"/>
          <w:color w:val="0000FF"/>
        </w:rPr>
        <w:t>PRE@mzgroup.us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Angela Cheung</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 Corporate Finance</w:t>
      </w:r>
    </w:p>
    <w:p>
      <w:pPr>
        <w:spacing w:after="0" w:line="219" w:lineRule="auto"/>
        <w:rPr>
          <w:sz w:val="20"/>
          <w:szCs w:val="20"/>
          <w:color w:val="auto"/>
        </w:rPr>
      </w:pPr>
      <w:r>
        <w:rPr>
          <w:rFonts w:ascii="Times New Roman" w:cs="Times New Roman" w:eastAsia="Times New Roman" w:hAnsi="Times New Roman"/>
          <w:sz w:val="18"/>
          <w:szCs w:val="18"/>
          <w:color w:val="auto"/>
        </w:rPr>
        <w:t>Prenetics Global Limited</w:t>
      </w:r>
    </w:p>
    <w:p>
      <w:pPr>
        <w:spacing w:after="0"/>
        <w:rPr>
          <w:sz w:val="20"/>
          <w:szCs w:val="20"/>
          <w:color w:val="auto"/>
        </w:rPr>
      </w:pPr>
      <w:r>
        <w:rPr>
          <w:rFonts w:ascii="Times New Roman" w:cs="Times New Roman" w:eastAsia="Times New Roman" w:hAnsi="Times New Roman"/>
          <w:sz w:val="18"/>
          <w:szCs w:val="18"/>
          <w:color w:val="0000FF"/>
        </w:rPr>
        <w:t>angela.hm.cheung@prenetics.com</w:t>
      </w:r>
    </w:p>
    <w:p>
      <w:pPr>
        <w:sectPr>
          <w:pgSz w:w="11900" w:h="16838" w:orient="portrait"/>
          <w:cols w:equalWidth="0" w:num="1">
            <w:col w:w="11240"/>
          </w:cols>
          <w:pgMar w:left="320" w:top="141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Non-IFRS Financial Measure has been provided in the financial statements tables included at the end of this press release. An explanation of this measure is also included below under the heading “Non-IFRS Financial Measure”.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Non-IFRS Financial Measure</w:t>
      </w:r>
    </w:p>
    <w:p>
      <w:pPr>
        <w:spacing w:after="0" w:line="2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To supplement Prenetics’ consolidated financial statements prepared in accordance with International Financial Reporting Standards (“IFRS”), the Company is providing non-IFRS measure, adjusted EBITDA loss from continuing operations. This non-IFRS financial measure is not based on any standardized methodology prescribed by IFRS and are not necessarily comparable to similarly-titled measures presented by other companies. Management believes this non-IFRS financial measure is useful to investors in evaluating the Company’s ongoing operating results and trends.</w:t>
      </w:r>
    </w:p>
    <w:p>
      <w:pPr>
        <w:spacing w:after="0" w:line="21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Management is excluding from some or all of its non-IFRS results (1) Employee equity-settled share-based payment expenses, (2) depreciation and amortization, (3) Amortization of deferred expenses, (4) Acquisition and transaction-related costs, (5) Strategic realignment and discontinued products impact, and (6) finance income and exchange gain or loss, net — items that may not be indicative of our business, results of operations, or outlook, including but not limited to non-cash and/ or non-recurring items. These non-IFRS financial measures are limited in value because they exclude certain items that may have a material impact on the reported financial results. Management accounts for this limitation by analyzing results on an IFRS basis as well as a non-IFRS basis and also by providing IFRS measures in the Company’s public disclosures.</w:t>
      </w:r>
    </w:p>
    <w:p>
      <w:pPr>
        <w:spacing w:after="0" w:line="21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addition, other companies, including companies in the same industry, may not use the same non-IFRS measures or may calculate these metrics in a different manner than management or may use other financial measures to evaluate their performance, all of which could reduce the usefulness of these non-IFRS measures as comparative measures. Because of these limitations, the Company’s non-IFRS financial measures should not be considered in isolation from, or as a substitute for, financial information prepared in accordance with IFRS. Investors are encouraged to review the non-IFRS reconciliations provided in the tables captioned “Reconciliation of loss from operations from continuing operations under IFRS and adjusted EBITDA loss from continuing operations (Non-IFRS)” set forth at the end of this document.</w:t>
      </w:r>
    </w:p>
    <w:p>
      <w:pPr>
        <w:sectPr>
          <w:pgSz w:w="11900" w:h="16838" w:orient="portrait"/>
          <w:cols w:equalWidth="0" w:num="1">
            <w:col w:w="11240"/>
          </w:cols>
          <w:pgMar w:left="320" w:top="14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PRENETICS GLOBAL LIMITED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financial position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(Expressed in United States dollars unless otherwise indicated)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9"/>
        </w:trPr>
        <w:tc>
          <w:tcPr>
            <w:tcW w:w="59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2023</w:t>
            </w:r>
          </w:p>
        </w:tc>
        <w:tc>
          <w:tcPr>
            <w:tcW w:w="0" w:type="dxa"/>
            <w:vAlign w:val="bottom"/>
          </w:tcPr>
          <w:p>
            <w:pPr>
              <w:spacing w:after="0"/>
              <w:rPr>
                <w:sz w:val="1"/>
                <w:szCs w:val="1"/>
                <w:color w:val="auto"/>
              </w:rPr>
            </w:pPr>
          </w:p>
        </w:tc>
      </w:tr>
      <w:tr>
        <w:trPr>
          <w:trHeight w:val="19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9,238,067</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4,745,228</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5,777,794</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11,987,708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12,455,997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13,424,648</w:t>
            </w:r>
          </w:p>
        </w:tc>
        <w:tc>
          <w:tcPr>
            <w:tcW w:w="0" w:type="dxa"/>
            <w:vAlign w:val="bottom"/>
          </w:tcPr>
          <w:p>
            <w:pPr>
              <w:spacing w:after="0"/>
              <w:rPr>
                <w:sz w:val="1"/>
                <w:szCs w:val="1"/>
                <w:color w:val="auto"/>
              </w:rPr>
            </w:pPr>
          </w:p>
        </w:tc>
      </w:tr>
      <w:tr>
        <w:trPr>
          <w:trHeight w:val="21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37,363,809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29,170,123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29,170,123</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Interests in equity-accounted investees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97,575,853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97,875,233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98,464,875</w:t>
            </w:r>
          </w:p>
        </w:tc>
        <w:tc>
          <w:tcPr>
            <w:tcW w:w="0" w:type="dxa"/>
            <w:vAlign w:val="bottom"/>
          </w:tcPr>
          <w:p>
            <w:pPr>
              <w:spacing w:after="0"/>
              <w:rPr>
                <w:sz w:val="1"/>
                <w:szCs w:val="1"/>
                <w:color w:val="auto"/>
              </w:rPr>
            </w:pPr>
          </w:p>
        </w:tc>
      </w:tr>
      <w:tr>
        <w:trPr>
          <w:trHeight w:val="21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Financial assets at fair value through profit or loss</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9,371,064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9,371,064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9,371,064</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4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27,627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27,680</w:t>
            </w:r>
          </w:p>
        </w:tc>
        <w:tc>
          <w:tcPr>
            <w:tcW w:w="0" w:type="dxa"/>
            <w:vAlign w:val="bottom"/>
          </w:tcPr>
          <w:p>
            <w:pPr>
              <w:spacing w:after="0"/>
              <w:rPr>
                <w:sz w:val="1"/>
                <w:szCs w:val="1"/>
                <w:color w:val="auto"/>
              </w:rPr>
            </w:pPr>
          </w:p>
        </w:tc>
      </w:tr>
      <w:tr>
        <w:trPr>
          <w:trHeight w:val="21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expenses</w:t>
            </w:r>
          </w:p>
        </w:tc>
        <w:tc>
          <w:tcPr>
            <w:tcW w:w="4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3,530,756</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1,110,390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968,525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743,173</w:t>
            </w:r>
          </w:p>
        </w:tc>
        <w:tc>
          <w:tcPr>
            <w:tcW w:w="0" w:type="dxa"/>
            <w:vAlign w:val="bottom"/>
          </w:tcPr>
          <w:p>
            <w:pPr>
              <w:spacing w:after="0"/>
              <w:rPr>
                <w:sz w:val="1"/>
                <w:szCs w:val="1"/>
                <w:color w:val="auto"/>
              </w:rPr>
            </w:pPr>
          </w:p>
        </w:tc>
      </w:tr>
      <w:tr>
        <w:trPr>
          <w:trHeight w:val="207"/>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166,646,891</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154,613,797</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160,510,113</w:t>
            </w:r>
          </w:p>
        </w:tc>
        <w:tc>
          <w:tcPr>
            <w:tcW w:w="0" w:type="dxa"/>
            <w:vAlign w:val="bottom"/>
          </w:tcPr>
          <w:p>
            <w:pPr>
              <w:spacing w:after="0"/>
              <w:rPr>
                <w:sz w:val="1"/>
                <w:szCs w:val="1"/>
                <w:color w:val="auto"/>
              </w:rPr>
            </w:pPr>
          </w:p>
        </w:tc>
      </w:tr>
      <w:tr>
        <w:trPr>
          <w:trHeight w:val="212"/>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expenses</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5,648,473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7,710,439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8,312,890</w:t>
            </w:r>
          </w:p>
        </w:tc>
        <w:tc>
          <w:tcPr>
            <w:tcW w:w="0" w:type="dxa"/>
            <w:vAlign w:val="bottom"/>
          </w:tcPr>
          <w:p>
            <w:pPr>
              <w:spacing w:after="0"/>
              <w:rPr>
                <w:sz w:val="1"/>
                <w:szCs w:val="1"/>
                <w:color w:val="auto"/>
              </w:rPr>
            </w:pPr>
          </w:p>
        </w:tc>
      </w:tr>
      <w:tr>
        <w:trPr>
          <w:trHeight w:val="21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8,932,408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2,878,258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3,126,776</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receivables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5,706,585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4,086,030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4,058,007</w:t>
            </w:r>
          </w:p>
        </w:tc>
        <w:tc>
          <w:tcPr>
            <w:tcW w:w="0" w:type="dxa"/>
            <w:vAlign w:val="bottom"/>
          </w:tcPr>
          <w:p>
            <w:pPr>
              <w:spacing w:after="0"/>
              <w:rPr>
                <w:sz w:val="1"/>
                <w:szCs w:val="1"/>
                <w:color w:val="auto"/>
              </w:rPr>
            </w:pPr>
          </w:p>
        </w:tc>
      </w:tr>
      <w:tr>
        <w:trPr>
          <w:trHeight w:val="21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Deposits, prepayments and other receivables</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5,857,371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11,797,508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5,284,848</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 due from a related company</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5,123</w:t>
            </w:r>
          </w:p>
        </w:tc>
        <w:tc>
          <w:tcPr>
            <w:tcW w:w="0" w:type="dxa"/>
            <w:vAlign w:val="bottom"/>
          </w:tcPr>
          <w:p>
            <w:pPr>
              <w:spacing w:after="0"/>
              <w:rPr>
                <w:sz w:val="1"/>
                <w:szCs w:val="1"/>
                <w:color w:val="auto"/>
              </w:rPr>
            </w:pPr>
          </w:p>
        </w:tc>
      </w:tr>
      <w:tr>
        <w:trPr>
          <w:trHeight w:val="21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Amount due from an equity-accounted investee</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139,909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120,966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132,114</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Financial assets at fair value through profit or loss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10,893,094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10,893,094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11,034,200</w:t>
            </w:r>
          </w:p>
        </w:tc>
        <w:tc>
          <w:tcPr>
            <w:tcW w:w="0" w:type="dxa"/>
            <w:vAlign w:val="bottom"/>
          </w:tcPr>
          <w:p>
            <w:pPr>
              <w:spacing w:after="0"/>
              <w:rPr>
                <w:sz w:val="1"/>
                <w:szCs w:val="1"/>
                <w:color w:val="auto"/>
              </w:rPr>
            </w:pPr>
          </w:p>
        </w:tc>
      </w:tr>
      <w:tr>
        <w:trPr>
          <w:trHeight w:val="21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deposits</w:t>
            </w:r>
          </w:p>
        </w:tc>
        <w:tc>
          <w:tcPr>
            <w:tcW w:w="4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16,000,000</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31,939,164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41,204,165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45,706,448</w:t>
            </w:r>
          </w:p>
        </w:tc>
        <w:tc>
          <w:tcPr>
            <w:tcW w:w="0" w:type="dxa"/>
            <w:vAlign w:val="bottom"/>
          </w:tcPr>
          <w:p>
            <w:pPr>
              <w:spacing w:after="0"/>
              <w:rPr>
                <w:sz w:val="1"/>
                <w:szCs w:val="1"/>
                <w:color w:val="auto"/>
              </w:rPr>
            </w:pPr>
          </w:p>
        </w:tc>
      </w:tr>
      <w:tr>
        <w:trPr>
          <w:trHeight w:val="207"/>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69,119,578</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78,693,021</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93,660,406</w:t>
            </w:r>
          </w:p>
        </w:tc>
        <w:tc>
          <w:tcPr>
            <w:tcW w:w="0" w:type="dxa"/>
            <w:vAlign w:val="bottom"/>
          </w:tcPr>
          <w:p>
            <w:pPr>
              <w:spacing w:after="0"/>
              <w:rPr>
                <w:sz w:val="1"/>
                <w:szCs w:val="1"/>
                <w:color w:val="auto"/>
              </w:rPr>
            </w:pPr>
          </w:p>
        </w:tc>
      </w:tr>
      <w:tr>
        <w:trPr>
          <w:trHeight w:val="237"/>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235,766,469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233,306,818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254,170,519</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59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2,162,250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2,238,336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2,614,823</w:t>
            </w:r>
          </w:p>
        </w:tc>
        <w:tc>
          <w:tcPr>
            <w:tcW w:w="0" w:type="dxa"/>
            <w:vAlign w:val="bottom"/>
          </w:tcPr>
          <w:p>
            <w:pPr>
              <w:spacing w:after="0"/>
              <w:rPr>
                <w:sz w:val="1"/>
                <w:szCs w:val="1"/>
                <w:color w:val="auto"/>
              </w:rPr>
            </w:pPr>
          </w:p>
        </w:tc>
      </w:tr>
      <w:tr>
        <w:trPr>
          <w:trHeight w:val="21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Warrant liabilities</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205,942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311,152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223,850</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liabilities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3,637,751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1,181,457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867,215</w:t>
            </w:r>
          </w:p>
        </w:tc>
        <w:tc>
          <w:tcPr>
            <w:tcW w:w="0" w:type="dxa"/>
            <w:vAlign w:val="bottom"/>
          </w:tcPr>
          <w:p>
            <w:pPr>
              <w:spacing w:after="0"/>
              <w:rPr>
                <w:sz w:val="1"/>
                <w:szCs w:val="1"/>
                <w:color w:val="auto"/>
              </w:rPr>
            </w:pPr>
          </w:p>
        </w:tc>
      </w:tr>
      <w:tr>
        <w:trPr>
          <w:trHeight w:val="213"/>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346,955</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286,047</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823,345</w:t>
            </w:r>
          </w:p>
        </w:tc>
        <w:tc>
          <w:tcPr>
            <w:tcW w:w="0" w:type="dxa"/>
            <w:vAlign w:val="bottom"/>
          </w:tcPr>
          <w:p>
            <w:pPr>
              <w:spacing w:after="0"/>
              <w:rPr>
                <w:sz w:val="1"/>
                <w:szCs w:val="1"/>
                <w:color w:val="auto"/>
              </w:rPr>
            </w:pPr>
          </w:p>
        </w:tc>
      </w:tr>
      <w:tr>
        <w:trPr>
          <w:trHeight w:val="212"/>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6,352,898</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4,016,992</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4,529,233</w:t>
            </w:r>
          </w:p>
        </w:tc>
        <w:tc>
          <w:tcPr>
            <w:tcW w:w="0" w:type="dxa"/>
            <w:vAlign w:val="bottom"/>
          </w:tcPr>
          <w:p>
            <w:pPr>
              <w:spacing w:after="0"/>
              <w:rPr>
                <w:sz w:val="1"/>
                <w:szCs w:val="1"/>
                <w:color w:val="auto"/>
              </w:rPr>
            </w:pPr>
          </w:p>
        </w:tc>
      </w:tr>
      <w:tr>
        <w:trPr>
          <w:trHeight w:val="207"/>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 payables</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8,740,592</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1,693,564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1,671,019</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8,174,008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6,821,131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8,174,815</w:t>
            </w:r>
          </w:p>
        </w:tc>
        <w:tc>
          <w:tcPr>
            <w:tcW w:w="0" w:type="dxa"/>
            <w:vAlign w:val="bottom"/>
          </w:tcPr>
          <w:p>
            <w:pPr>
              <w:spacing w:after="0"/>
              <w:rPr>
                <w:sz w:val="1"/>
                <w:szCs w:val="1"/>
                <w:color w:val="auto"/>
              </w:rPr>
            </w:pPr>
          </w:p>
        </w:tc>
      </w:tr>
      <w:tr>
        <w:trPr>
          <w:trHeight w:val="21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 liabilities</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5,709,876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5,480,399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6,111,017</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liabilities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2,849,971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1,183,046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1,502,173</w:t>
            </w:r>
          </w:p>
        </w:tc>
        <w:tc>
          <w:tcPr>
            <w:tcW w:w="0" w:type="dxa"/>
            <w:vAlign w:val="bottom"/>
          </w:tcPr>
          <w:p>
            <w:pPr>
              <w:spacing w:after="0"/>
              <w:rPr>
                <w:sz w:val="1"/>
                <w:szCs w:val="1"/>
                <w:color w:val="auto"/>
              </w:rPr>
            </w:pPr>
          </w:p>
        </w:tc>
      </w:tr>
      <w:tr>
        <w:trPr>
          <w:trHeight w:val="216"/>
        </w:trPr>
        <w:tc>
          <w:tcPr>
            <w:tcW w:w="59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Liabilities for puttable financial instrument</w:t>
            </w:r>
            <w:r>
              <w:rPr>
                <w:rFonts w:ascii="Times New Roman" w:cs="Times New Roman" w:eastAsia="Times New Roman" w:hAnsi="Times New Roman"/>
                <w:sz w:val="21"/>
                <w:szCs w:val="21"/>
                <w:b w:val="1"/>
                <w:bCs w:val="1"/>
                <w:color w:val="auto"/>
                <w:vertAlign w:val="superscript"/>
              </w:rPr>
              <w:t>4</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16,409,452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15,707,143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14,622,529</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payable</w:t>
            </w: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7,433,612</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7,402,553</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7,402,461</w:t>
            </w:r>
          </w:p>
        </w:tc>
        <w:tc>
          <w:tcPr>
            <w:tcW w:w="0" w:type="dxa"/>
            <w:vAlign w:val="bottom"/>
          </w:tcPr>
          <w:p>
            <w:pPr>
              <w:spacing w:after="0"/>
              <w:rPr>
                <w:sz w:val="1"/>
                <w:szCs w:val="1"/>
                <w:color w:val="auto"/>
              </w:rPr>
            </w:pPr>
          </w:p>
        </w:tc>
      </w:tr>
      <w:tr>
        <w:trPr>
          <w:trHeight w:val="207"/>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49,317,511</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38,287,836</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39,484,014</w:t>
            </w:r>
          </w:p>
        </w:tc>
        <w:tc>
          <w:tcPr>
            <w:tcW w:w="0" w:type="dxa"/>
            <w:vAlign w:val="bottom"/>
          </w:tcPr>
          <w:p>
            <w:pPr>
              <w:spacing w:after="0"/>
              <w:rPr>
                <w:sz w:val="1"/>
                <w:szCs w:val="1"/>
                <w:color w:val="auto"/>
              </w:rPr>
            </w:pPr>
          </w:p>
        </w:tc>
      </w:tr>
      <w:tr>
        <w:trPr>
          <w:trHeight w:val="212"/>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55,670,409</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42,304,828</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44,013,247</w:t>
            </w:r>
          </w:p>
        </w:tc>
        <w:tc>
          <w:tcPr>
            <w:tcW w:w="0" w:type="dxa"/>
            <w:vAlign w:val="bottom"/>
          </w:tcPr>
          <w:p>
            <w:pPr>
              <w:spacing w:after="0"/>
              <w:rPr>
                <w:sz w:val="1"/>
                <w:szCs w:val="1"/>
                <w:color w:val="auto"/>
              </w:rPr>
            </w:pPr>
          </w:p>
        </w:tc>
      </w:tr>
      <w:tr>
        <w:trPr>
          <w:trHeight w:val="194"/>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 capital</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19,094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19,024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18,308</w:t>
            </w:r>
          </w:p>
        </w:tc>
        <w:tc>
          <w:tcPr>
            <w:tcW w:w="0" w:type="dxa"/>
            <w:vAlign w:val="bottom"/>
          </w:tcPr>
          <w:p>
            <w:pPr>
              <w:spacing w:after="0"/>
              <w:rPr>
                <w:sz w:val="1"/>
                <w:szCs w:val="1"/>
                <w:color w:val="auto"/>
              </w:rPr>
            </w:pPr>
          </w:p>
        </w:tc>
      </w:tr>
      <w:tr>
        <w:trPr>
          <w:trHeight w:val="213"/>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Reserves</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178,659,723</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188,225,181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206,339,490</w:t>
            </w:r>
          </w:p>
        </w:tc>
        <w:tc>
          <w:tcPr>
            <w:tcW w:w="0" w:type="dxa"/>
            <w:vAlign w:val="bottom"/>
          </w:tcPr>
          <w:p>
            <w:pPr>
              <w:spacing w:after="0"/>
              <w:rPr>
                <w:sz w:val="1"/>
                <w:szCs w:val="1"/>
                <w:color w:val="auto"/>
              </w:rPr>
            </w:pPr>
          </w:p>
        </w:tc>
      </w:tr>
      <w:tr>
        <w:trPr>
          <w:trHeight w:val="212"/>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equity attributable to equity shareholders of the Company</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178,678,817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188,244,205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206,357,798</w:t>
            </w:r>
          </w:p>
        </w:tc>
        <w:tc>
          <w:tcPr>
            <w:tcW w:w="0" w:type="dxa"/>
            <w:vAlign w:val="bottom"/>
          </w:tcPr>
          <w:p>
            <w:pPr>
              <w:spacing w:after="0"/>
              <w:rPr>
                <w:sz w:val="1"/>
                <w:szCs w:val="1"/>
                <w:color w:val="auto"/>
              </w:rPr>
            </w:pPr>
          </w:p>
        </w:tc>
      </w:tr>
      <w:tr>
        <w:trPr>
          <w:trHeight w:val="213"/>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1,417,243</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2,757,785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3,799,474</w:t>
            </w: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equity</w:t>
            </w: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180,096,060</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191,001,990</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210,157,272</w:t>
            </w:r>
          </w:p>
        </w:tc>
        <w:tc>
          <w:tcPr>
            <w:tcW w:w="0" w:type="dxa"/>
            <w:vAlign w:val="bottom"/>
          </w:tcPr>
          <w:p>
            <w:pPr>
              <w:spacing w:after="0"/>
              <w:rPr>
                <w:sz w:val="1"/>
                <w:szCs w:val="1"/>
                <w:color w:val="auto"/>
              </w:rPr>
            </w:pPr>
          </w:p>
        </w:tc>
      </w:tr>
      <w:tr>
        <w:trPr>
          <w:trHeight w:val="212"/>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equity and liabilities</w:t>
            </w: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235,766,469</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233,306,818</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254,170,519</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PRENETICS GLOBAL LIMITED</w:t>
      </w:r>
    </w:p>
    <w:p>
      <w:pPr>
        <w:spacing w:after="0" w:line="31" w:lineRule="exact"/>
        <w:rPr>
          <w:sz w:val="20"/>
          <w:szCs w:val="20"/>
          <w:color w:val="auto"/>
        </w:rPr>
      </w:pPr>
    </w:p>
    <w:p>
      <w:pPr>
        <w:ind w:right="4580"/>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Unaudited consolidated statements of profit or loss and other comprehensive income </w:t>
      </w:r>
      <w:r>
        <w:rPr>
          <w:rFonts w:ascii="Times New Roman" w:cs="Times New Roman" w:eastAsia="Times New Roman" w:hAnsi="Times New Roman"/>
          <w:sz w:val="18"/>
          <w:szCs w:val="18"/>
          <w:i w:val="1"/>
          <w:iCs w:val="1"/>
          <w:color w:val="auto"/>
        </w:rPr>
        <w:t>(Expressed in United States dollars unless otherwise indicated)</w:t>
      </w:r>
    </w:p>
    <w:p>
      <w:pPr>
        <w:spacing w:after="0" w:line="264" w:lineRule="exact"/>
        <w:rPr>
          <w:sz w:val="20"/>
          <w:szCs w:val="20"/>
          <w:color w:val="auto"/>
        </w:rPr>
      </w:pPr>
    </w:p>
    <w:tbl>
      <w:tblPr>
        <w:tblLayout w:type="fixed"/>
        <w:tblInd w:w="200" w:type="dxa"/>
        <w:tblCellMar>
          <w:top w:w="0" w:type="dxa"/>
          <w:left w:w="0" w:type="dxa"/>
          <w:bottom w:w="0" w:type="dxa"/>
          <w:right w:w="0" w:type="dxa"/>
        </w:tblCellMar>
      </w:tblPr>
      <w:tr>
        <w:trPr>
          <w:trHeight w:val="215"/>
        </w:trPr>
        <w:tc>
          <w:tcPr>
            <w:tcW w:w="71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7"/>
        </w:trPr>
        <w:tc>
          <w:tcPr>
            <w:tcW w:w="71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c>
          <w:tcPr>
            <w:tcW w:w="1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2023</w:t>
            </w:r>
          </w:p>
        </w:tc>
        <w:tc>
          <w:tcPr>
            <w:tcW w:w="0" w:type="dxa"/>
            <w:vAlign w:val="bottom"/>
          </w:tcPr>
          <w:p>
            <w:pPr>
              <w:spacing w:after="0"/>
              <w:rPr>
                <w:sz w:val="1"/>
                <w:szCs w:val="1"/>
                <w:color w:val="auto"/>
              </w:rPr>
            </w:pPr>
          </w:p>
        </w:tc>
      </w:tr>
      <w:tr>
        <w:trPr>
          <w:trHeight w:val="211"/>
        </w:trPr>
        <w:tc>
          <w:tcPr>
            <w:tcW w:w="7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(Restated)</w:t>
            </w:r>
          </w:p>
        </w:tc>
        <w:tc>
          <w:tcPr>
            <w:tcW w:w="0" w:type="dxa"/>
            <w:vAlign w:val="bottom"/>
          </w:tcPr>
          <w:p>
            <w:pPr>
              <w:spacing w:after="0"/>
              <w:rPr>
                <w:sz w:val="1"/>
                <w:szCs w:val="1"/>
                <w:color w:val="auto"/>
              </w:rPr>
            </w:pPr>
          </w:p>
        </w:tc>
      </w:tr>
      <w:tr>
        <w:trPr>
          <w:trHeight w:val="218"/>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Continuing operations</w:t>
            </w: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Revenue</w:t>
            </w:r>
          </w:p>
        </w:tc>
        <w:tc>
          <w:tcPr>
            <w:tcW w:w="4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20,132,902</w:t>
            </w:r>
          </w:p>
        </w:tc>
        <w:tc>
          <w:tcPr>
            <w:tcW w:w="100" w:type="dxa"/>
            <w:vAlign w:val="bottom"/>
          </w:tcPr>
          <w:p>
            <w:pPr>
              <w:spacing w:after="0"/>
              <w:rPr>
                <w:sz w:val="18"/>
                <w:szCs w:val="18"/>
                <w:color w:val="auto"/>
              </w:rPr>
            </w:pPr>
          </w:p>
        </w:tc>
        <w:tc>
          <w:tcPr>
            <w:tcW w:w="72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16,314,215</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 costs</w:t>
            </w: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(8,634,517)</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(10,154,500)</w:t>
            </w:r>
          </w:p>
        </w:tc>
        <w:tc>
          <w:tcPr>
            <w:tcW w:w="0" w:type="dxa"/>
            <w:vAlign w:val="bottom"/>
          </w:tcPr>
          <w:p>
            <w:pPr>
              <w:spacing w:after="0"/>
              <w:rPr>
                <w:sz w:val="1"/>
                <w:szCs w:val="1"/>
                <w:color w:val="auto"/>
              </w:rPr>
            </w:pPr>
          </w:p>
        </w:tc>
      </w:tr>
      <w:tr>
        <w:trPr>
          <w:trHeight w:val="207"/>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4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11,498,385</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6,159,715</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and other net gain</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1,451,384</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3,791,541</w:t>
            </w:r>
          </w:p>
        </w:tc>
        <w:tc>
          <w:tcPr>
            <w:tcW w:w="0" w:type="dxa"/>
            <w:vAlign w:val="bottom"/>
          </w:tcPr>
          <w:p>
            <w:pPr>
              <w:spacing w:after="0"/>
              <w:rPr>
                <w:sz w:val="1"/>
                <w:szCs w:val="1"/>
                <w:color w:val="auto"/>
              </w:rPr>
            </w:pPr>
          </w:p>
        </w:tc>
      </w:tr>
      <w:tr>
        <w:trPr>
          <w:trHeight w:val="216"/>
        </w:trPr>
        <w:tc>
          <w:tcPr>
            <w:tcW w:w="716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Selling and distribution expenses</w:t>
            </w:r>
            <w:r>
              <w:rPr>
                <w:rFonts w:ascii="Times New Roman" w:cs="Times New Roman" w:eastAsia="Times New Roman" w:hAnsi="Times New Roman"/>
                <w:sz w:val="21"/>
                <w:szCs w:val="21"/>
                <w:b w:val="1"/>
                <w:bCs w:val="1"/>
                <w:color w:val="auto"/>
                <w:vertAlign w:val="superscript"/>
              </w:rPr>
              <w:t>5</w:t>
            </w: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(6,230,284)</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(6,334,964)</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Research and development expenses</w:t>
            </w:r>
            <w:r>
              <w:rPr>
                <w:rFonts w:ascii="Times New Roman" w:cs="Times New Roman" w:eastAsia="Times New Roman" w:hAnsi="Times New Roman"/>
                <w:sz w:val="21"/>
                <w:szCs w:val="21"/>
                <w:b w:val="1"/>
                <w:bCs w:val="1"/>
                <w:color w:val="auto"/>
                <w:vertAlign w:val="superscript"/>
              </w:rPr>
              <w:t>5</w:t>
            </w: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(8,344,625)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(9,830,791)</w:t>
            </w:r>
          </w:p>
        </w:tc>
        <w:tc>
          <w:tcPr>
            <w:tcW w:w="0" w:type="dxa"/>
            <w:vAlign w:val="bottom"/>
          </w:tcPr>
          <w:p>
            <w:pPr>
              <w:spacing w:after="0"/>
              <w:rPr>
                <w:sz w:val="1"/>
                <w:szCs w:val="1"/>
                <w:color w:val="auto"/>
              </w:rPr>
            </w:pPr>
          </w:p>
        </w:tc>
      </w:tr>
      <w:tr>
        <w:trPr>
          <w:trHeight w:val="216"/>
        </w:trPr>
        <w:tc>
          <w:tcPr>
            <w:tcW w:w="7160" w:type="dxa"/>
            <w:vAlign w:val="bottom"/>
            <w:tcBorders>
              <w:bottom w:val="single" w:sz="8" w:color="CCEEFF"/>
            </w:tcBorders>
          </w:tcPr>
          <w:p>
            <w:pPr>
              <w:spacing w:after="0" w:line="216" w:lineRule="exact"/>
              <w:rPr>
                <w:sz w:val="20"/>
                <w:szCs w:val="20"/>
                <w:color w:val="auto"/>
              </w:rPr>
            </w:pPr>
            <w:r>
              <w:rPr>
                <w:rFonts w:ascii="Times New Roman" w:cs="Times New Roman" w:eastAsia="Times New Roman" w:hAnsi="Times New Roman"/>
                <w:sz w:val="16"/>
                <w:szCs w:val="16"/>
                <w:color w:val="auto"/>
              </w:rPr>
              <w:t>Administrative and other operating expenses</w:t>
            </w:r>
            <w:r>
              <w:rPr>
                <w:rFonts w:ascii="Times New Roman" w:cs="Times New Roman" w:eastAsia="Times New Roman" w:hAnsi="Times New Roman"/>
                <w:sz w:val="21"/>
                <w:szCs w:val="21"/>
                <w:b w:val="1"/>
                <w:bCs w:val="1"/>
                <w:color w:val="auto"/>
                <w:vertAlign w:val="superscript"/>
              </w:rPr>
              <w:t>5</w:t>
            </w: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(29,951,055)</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(32,420,130)</w:t>
            </w: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(31,576,195)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(38,634,629)</w:t>
            </w:r>
          </w:p>
        </w:tc>
        <w:tc>
          <w:tcPr>
            <w:tcW w:w="0" w:type="dxa"/>
            <w:vAlign w:val="bottom"/>
          </w:tcPr>
          <w:p>
            <w:pPr>
              <w:spacing w:after="0"/>
              <w:rPr>
                <w:sz w:val="1"/>
                <w:szCs w:val="1"/>
                <w:color w:val="auto"/>
              </w:rPr>
            </w:pPr>
          </w:p>
        </w:tc>
      </w:tr>
      <w:tr>
        <w:trPr>
          <w:trHeight w:val="213"/>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Fair value loss on financial assets at fair value through profit or loss</w:t>
            </w: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(141,106)</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(3,944,407)</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gain on warrant liabilities</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17,908</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2,679,485</w:t>
            </w:r>
          </w:p>
        </w:tc>
        <w:tc>
          <w:tcPr>
            <w:tcW w:w="0" w:type="dxa"/>
            <w:vAlign w:val="bottom"/>
          </w:tcPr>
          <w:p>
            <w:pPr>
              <w:spacing w:after="0"/>
              <w:rPr>
                <w:sz w:val="1"/>
                <w:szCs w:val="1"/>
                <w:color w:val="auto"/>
              </w:rPr>
            </w:pPr>
          </w:p>
        </w:tc>
      </w:tr>
      <w:tr>
        <w:trPr>
          <w:trHeight w:val="213"/>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Share of loss of equity-accounted investees</w:t>
            </w: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(909,455)</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(170,717)</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finance costs</w:t>
            </w: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(124,370)</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(120,735)</w:t>
            </w:r>
          </w:p>
        </w:tc>
        <w:tc>
          <w:tcPr>
            <w:tcW w:w="0" w:type="dxa"/>
            <w:vAlign w:val="bottom"/>
          </w:tcPr>
          <w:p>
            <w:pPr>
              <w:spacing w:after="0"/>
              <w:rPr>
                <w:sz w:val="1"/>
                <w:szCs w:val="1"/>
                <w:color w:val="auto"/>
              </w:rPr>
            </w:pPr>
          </w:p>
        </w:tc>
      </w:tr>
      <w:tr>
        <w:trPr>
          <w:trHeight w:val="207"/>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Loss before taxation</w:t>
            </w:r>
          </w:p>
        </w:tc>
        <w:tc>
          <w:tcPr>
            <w:tcW w:w="4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(32,733,218)</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(40,191,003)</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credit</w:t>
            </w: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450,479</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164,199</w:t>
            </w:r>
          </w:p>
        </w:tc>
        <w:tc>
          <w:tcPr>
            <w:tcW w:w="0" w:type="dxa"/>
            <w:vAlign w:val="bottom"/>
          </w:tcPr>
          <w:p>
            <w:pPr>
              <w:spacing w:after="0"/>
              <w:rPr>
                <w:sz w:val="1"/>
                <w:szCs w:val="1"/>
                <w:color w:val="auto"/>
              </w:rPr>
            </w:pPr>
          </w:p>
        </w:tc>
      </w:tr>
      <w:tr>
        <w:trPr>
          <w:trHeight w:val="207"/>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Loss from continuing operations</w:t>
            </w:r>
          </w:p>
        </w:tc>
        <w:tc>
          <w:tcPr>
            <w:tcW w:w="4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(32,282,739)</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(40,026,804)</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Discontinued operation</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60" w:type="dxa"/>
            <w:vAlign w:val="bottom"/>
            <w:tcBorders>
              <w:bottom w:val="single" w:sz="8" w:color="CCEEFF"/>
            </w:tcBorders>
          </w:tcPr>
          <w:p>
            <w:pPr>
              <w:spacing w:after="0" w:line="216" w:lineRule="exact"/>
              <w:rPr>
                <w:sz w:val="20"/>
                <w:szCs w:val="20"/>
                <w:color w:val="auto"/>
              </w:rPr>
            </w:pPr>
            <w:r>
              <w:rPr>
                <w:rFonts w:ascii="Times New Roman" w:cs="Times New Roman" w:eastAsia="Times New Roman" w:hAnsi="Times New Roman"/>
                <w:sz w:val="16"/>
                <w:szCs w:val="16"/>
                <w:color w:val="auto"/>
              </w:rPr>
              <w:t>Profit/(loss) from discontinued operation, net of tax</w:t>
            </w:r>
            <w:r>
              <w:rPr>
                <w:rFonts w:ascii="Times New Roman" w:cs="Times New Roman" w:eastAsia="Times New Roman" w:hAnsi="Times New Roman"/>
                <w:sz w:val="21"/>
                <w:szCs w:val="21"/>
                <w:b w:val="1"/>
                <w:bCs w:val="1"/>
                <w:color w:val="auto"/>
                <w:vertAlign w:val="superscript"/>
              </w:rPr>
              <w:t>6</w:t>
            </w: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18,582</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(7,234,839)</w:t>
            </w: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Loss for the period</w:t>
            </w: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(32,264,157)</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(47,261,643)</w:t>
            </w:r>
          </w:p>
        </w:tc>
        <w:tc>
          <w:tcPr>
            <w:tcW w:w="0" w:type="dxa"/>
            <w:vAlign w:val="bottom"/>
          </w:tcPr>
          <w:p>
            <w:pPr>
              <w:spacing w:after="0"/>
              <w:rPr>
                <w:sz w:val="1"/>
                <w:szCs w:val="1"/>
                <w:color w:val="auto"/>
              </w:rPr>
            </w:pPr>
          </w:p>
        </w:tc>
      </w:tr>
      <w:tr>
        <w:trPr>
          <w:trHeight w:val="214"/>
        </w:trPr>
        <w:tc>
          <w:tcPr>
            <w:tcW w:w="7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comprehensive income for the period</w:t>
            </w: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Item that may be reclassified subsequently to profit or loss:</w:t>
            </w: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Exchange difference on translation of foreign operations</w:t>
            </w: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(296,142)</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677,474</w:t>
            </w:r>
          </w:p>
        </w:tc>
        <w:tc>
          <w:tcPr>
            <w:tcW w:w="0" w:type="dxa"/>
            <w:vAlign w:val="bottom"/>
          </w:tcPr>
          <w:p>
            <w:pPr>
              <w:spacing w:after="0"/>
              <w:rPr>
                <w:sz w:val="1"/>
                <w:szCs w:val="1"/>
                <w:color w:val="auto"/>
              </w:rPr>
            </w:pPr>
          </w:p>
        </w:tc>
      </w:tr>
      <w:tr>
        <w:trPr>
          <w:trHeight w:val="212"/>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comprehensive income for the period</w:t>
            </w:r>
          </w:p>
        </w:tc>
        <w:tc>
          <w:tcPr>
            <w:tcW w:w="44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(32,560,299)</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(46,584,169)</w:t>
            </w:r>
          </w:p>
        </w:tc>
        <w:tc>
          <w:tcPr>
            <w:tcW w:w="0" w:type="dxa"/>
            <w:vAlign w:val="bottom"/>
          </w:tcPr>
          <w:p>
            <w:pPr>
              <w:spacing w:after="0"/>
              <w:rPr>
                <w:sz w:val="1"/>
                <w:szCs w:val="1"/>
                <w:color w:val="auto"/>
              </w:rPr>
            </w:pPr>
          </w:p>
        </w:tc>
      </w:tr>
      <w:tr>
        <w:trPr>
          <w:trHeight w:val="214"/>
        </w:trPr>
        <w:tc>
          <w:tcPr>
            <w:tcW w:w="7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Loss attributable to:</w:t>
            </w: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shareholders of Prenetics</w:t>
            </w:r>
          </w:p>
        </w:tc>
        <w:tc>
          <w:tcPr>
            <w:tcW w:w="44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(29,962,285)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(45,776,458)</w:t>
            </w:r>
          </w:p>
        </w:tc>
        <w:tc>
          <w:tcPr>
            <w:tcW w:w="0" w:type="dxa"/>
            <w:vAlign w:val="bottom"/>
          </w:tcPr>
          <w:p>
            <w:pPr>
              <w:spacing w:after="0"/>
              <w:rPr>
                <w:sz w:val="1"/>
                <w:szCs w:val="1"/>
                <w:color w:val="auto"/>
              </w:rPr>
            </w:pPr>
          </w:p>
        </w:tc>
      </w:tr>
      <w:tr>
        <w:trPr>
          <w:trHeight w:val="213"/>
        </w:trPr>
        <w:tc>
          <w:tcPr>
            <w:tcW w:w="7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(2,301,872)</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(1,485,185)</w:t>
            </w:r>
          </w:p>
        </w:tc>
        <w:tc>
          <w:tcPr>
            <w:tcW w:w="0" w:type="dxa"/>
            <w:vAlign w:val="bottom"/>
          </w:tcPr>
          <w:p>
            <w:pPr>
              <w:spacing w:after="0"/>
              <w:rPr>
                <w:sz w:val="1"/>
                <w:szCs w:val="1"/>
                <w:color w:val="auto"/>
              </w:rPr>
            </w:pPr>
          </w:p>
        </w:tc>
      </w:tr>
      <w:tr>
        <w:trPr>
          <w:trHeight w:val="235"/>
        </w:trPr>
        <w:tc>
          <w:tcPr>
            <w:tcW w:w="71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(32,264,157)</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(47,261,643)</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Total comprehensive income attributable to:</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1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shareholders of Prenetics</w:t>
            </w:r>
          </w:p>
        </w:tc>
        <w:tc>
          <w:tcPr>
            <w:tcW w:w="44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(30,178,068)</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(44,534,436)</w:t>
            </w:r>
          </w:p>
        </w:tc>
        <w:tc>
          <w:tcPr>
            <w:tcW w:w="0" w:type="dxa"/>
            <w:vAlign w:val="bottom"/>
          </w:tcPr>
          <w:p>
            <w:pPr>
              <w:spacing w:after="0"/>
              <w:rPr>
                <w:sz w:val="1"/>
                <w:szCs w:val="1"/>
                <w:color w:val="auto"/>
              </w:rPr>
            </w:pPr>
          </w:p>
        </w:tc>
      </w:tr>
      <w:tr>
        <w:trPr>
          <w:trHeight w:val="213"/>
        </w:trPr>
        <w:tc>
          <w:tcPr>
            <w:tcW w:w="7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(2,382,231)</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(2,049,733)</w:t>
            </w:r>
          </w:p>
        </w:tc>
        <w:tc>
          <w:tcPr>
            <w:tcW w:w="0" w:type="dxa"/>
            <w:vAlign w:val="bottom"/>
          </w:tcPr>
          <w:p>
            <w:pPr>
              <w:spacing w:after="0"/>
              <w:rPr>
                <w:sz w:val="1"/>
                <w:szCs w:val="1"/>
                <w:color w:val="auto"/>
              </w:rPr>
            </w:pPr>
          </w:p>
        </w:tc>
      </w:tr>
      <w:tr>
        <w:trPr>
          <w:trHeight w:val="235"/>
        </w:trPr>
        <w:tc>
          <w:tcPr>
            <w:tcW w:w="71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(32,560,299)</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(46,584,169)</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Loss per share:</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1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w:t>
            </w: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0" w:type="dxa"/>
            <w:vAlign w:val="bottom"/>
          </w:tcPr>
          <w:p>
            <w:pPr>
              <w:spacing w:after="0"/>
              <w:rPr>
                <w:sz w:val="1"/>
                <w:szCs w:val="1"/>
                <w:color w:val="auto"/>
              </w:rPr>
            </w:pPr>
          </w:p>
        </w:tc>
      </w:tr>
      <w:tr>
        <w:trPr>
          <w:trHeight w:val="213"/>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Diluted</w:t>
            </w: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Loss per share - Continuing operations:</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Basic</w:t>
            </w: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Diluted</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0" w:type="dxa"/>
            <w:vAlign w:val="bottom"/>
          </w:tcPr>
          <w:p>
            <w:pPr>
              <w:spacing w:after="0"/>
              <w:rPr>
                <w:sz w:val="1"/>
                <w:szCs w:val="1"/>
                <w:color w:val="auto"/>
              </w:rPr>
            </w:pPr>
          </w:p>
        </w:tc>
      </w:tr>
      <w:tr>
        <w:trPr>
          <w:trHeight w:val="214"/>
        </w:trPr>
        <w:tc>
          <w:tcPr>
            <w:tcW w:w="7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Weighted average number of common shares:</w:t>
            </w: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w:t>
            </w: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12,388,243</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10,964,344</w:t>
            </w:r>
          </w:p>
        </w:tc>
        <w:tc>
          <w:tcPr>
            <w:tcW w:w="0" w:type="dxa"/>
            <w:vAlign w:val="bottom"/>
          </w:tcPr>
          <w:p>
            <w:pPr>
              <w:spacing w:after="0"/>
              <w:rPr>
                <w:sz w:val="1"/>
                <w:szCs w:val="1"/>
                <w:color w:val="auto"/>
              </w:rPr>
            </w:pPr>
          </w:p>
        </w:tc>
      </w:tr>
      <w:tr>
        <w:trPr>
          <w:trHeight w:val="210"/>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Diluted</w:t>
            </w: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12,388,243</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10,964,344</w:t>
            </w:r>
          </w:p>
        </w:tc>
        <w:tc>
          <w:tcPr>
            <w:tcW w:w="0" w:type="dxa"/>
            <w:vAlign w:val="bottom"/>
          </w:tcPr>
          <w:p>
            <w:pPr>
              <w:spacing w:after="0"/>
              <w:rPr>
                <w:sz w:val="1"/>
                <w:szCs w:val="1"/>
                <w:color w:val="auto"/>
              </w:rPr>
            </w:pPr>
          </w:p>
        </w:tc>
      </w:tr>
    </w:tbl>
    <w:p>
      <w:pPr>
        <w:sectPr>
          <w:pgSz w:w="11900" w:h="16838" w:orient="portrait"/>
          <w:cols w:equalWidth="0" w:num="1">
            <w:col w:w="11060"/>
          </w:cols>
          <w:pgMar w:left="320" w:top="1400" w:right="5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PRENETICS GLOBAL LIMITED</w:t>
      </w:r>
    </w:p>
    <w:p>
      <w:pPr>
        <w:spacing w:after="0" w:line="31" w:lineRule="exact"/>
        <w:rPr>
          <w:sz w:val="20"/>
          <w:szCs w:val="20"/>
          <w:color w:val="auto"/>
        </w:rPr>
      </w:pPr>
    </w:p>
    <w:p>
      <w:pPr>
        <w:ind w:right="4560"/>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Unaudited consolidated statements of profit or loss and other comprehensive income </w:t>
      </w:r>
      <w:r>
        <w:rPr>
          <w:rFonts w:ascii="Times New Roman" w:cs="Times New Roman" w:eastAsia="Times New Roman" w:hAnsi="Times New Roman"/>
          <w:sz w:val="18"/>
          <w:szCs w:val="18"/>
          <w:i w:val="1"/>
          <w:iCs w:val="1"/>
          <w:color w:val="auto"/>
        </w:rPr>
        <w:t>(Expressed in United States dollars unless otherwise indicated)</w:t>
      </w:r>
    </w:p>
    <w:p>
      <w:pPr>
        <w:spacing w:after="0" w:line="264" w:lineRule="exact"/>
        <w:rPr>
          <w:sz w:val="20"/>
          <w:szCs w:val="20"/>
          <w:color w:val="auto"/>
        </w:rPr>
      </w:pPr>
    </w:p>
    <w:tbl>
      <w:tblPr>
        <w:tblLayout w:type="fixed"/>
        <w:tblInd w:w="22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7"/>
        </w:trPr>
        <w:tc>
          <w:tcPr>
            <w:tcW w:w="52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2023</w:t>
            </w:r>
          </w:p>
        </w:tc>
        <w:tc>
          <w:tcPr>
            <w:tcW w:w="0" w:type="dxa"/>
            <w:vAlign w:val="bottom"/>
          </w:tcPr>
          <w:p>
            <w:pPr>
              <w:spacing w:after="0"/>
              <w:rPr>
                <w:sz w:val="1"/>
                <w:szCs w:val="1"/>
                <w:color w:val="auto"/>
              </w:rPr>
            </w:pPr>
          </w:p>
        </w:tc>
      </w:tr>
      <w:tr>
        <w:trPr>
          <w:trHeight w:val="211"/>
        </w:trPr>
        <w:tc>
          <w:tcPr>
            <w:tcW w:w="5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(Restated)</w:t>
            </w:r>
          </w:p>
        </w:tc>
        <w:tc>
          <w:tcPr>
            <w:tcW w:w="0" w:type="dxa"/>
            <w:vAlign w:val="bottom"/>
          </w:tcPr>
          <w:p>
            <w:pPr>
              <w:spacing w:after="0"/>
              <w:rPr>
                <w:sz w:val="1"/>
                <w:szCs w:val="1"/>
                <w:color w:val="auto"/>
              </w:rPr>
            </w:pPr>
          </w:p>
        </w:tc>
      </w:tr>
      <w:tr>
        <w:trPr>
          <w:trHeight w:val="21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Continuing operations</w:t>
            </w: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4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7,777,973</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5,941,532</w:t>
            </w:r>
          </w:p>
        </w:tc>
        <w:tc>
          <w:tcPr>
            <w:tcW w:w="8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4,878,941</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 costs</w:t>
            </w: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(3,830,506)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(2,173,260)</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(3,224,316)</w:t>
            </w:r>
          </w:p>
        </w:tc>
        <w:tc>
          <w:tcPr>
            <w:tcW w:w="0" w:type="dxa"/>
            <w:vAlign w:val="bottom"/>
          </w:tcPr>
          <w:p>
            <w:pPr>
              <w:spacing w:after="0"/>
              <w:rPr>
                <w:sz w:val="1"/>
                <w:szCs w:val="1"/>
                <w:color w:val="auto"/>
              </w:rPr>
            </w:pPr>
          </w:p>
        </w:tc>
      </w:tr>
      <w:tr>
        <w:trPr>
          <w:trHeight w:val="207"/>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4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3,947,467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3,768,272</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1,654,625</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and other net (loss)/gain</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(48,625)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752,118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1,627,592</w:t>
            </w:r>
          </w:p>
        </w:tc>
        <w:tc>
          <w:tcPr>
            <w:tcW w:w="0" w:type="dxa"/>
            <w:vAlign w:val="bottom"/>
          </w:tcPr>
          <w:p>
            <w:pPr>
              <w:spacing w:after="0"/>
              <w:rPr>
                <w:sz w:val="1"/>
                <w:szCs w:val="1"/>
                <w:color w:val="auto"/>
              </w:rPr>
            </w:pPr>
          </w:p>
        </w:tc>
      </w:tr>
      <w:tr>
        <w:trPr>
          <w:trHeight w:val="216"/>
        </w:trPr>
        <w:tc>
          <w:tcPr>
            <w:tcW w:w="52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Selling and distribution expenses</w:t>
            </w:r>
            <w:r>
              <w:rPr>
                <w:rFonts w:ascii="Times New Roman" w:cs="Times New Roman" w:eastAsia="Times New Roman" w:hAnsi="Times New Roman"/>
                <w:sz w:val="21"/>
                <w:szCs w:val="21"/>
                <w:b w:val="1"/>
                <w:bCs w:val="1"/>
                <w:color w:val="auto"/>
                <w:vertAlign w:val="superscript"/>
              </w:rPr>
              <w:t>5</w:t>
            </w: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(1,915,373)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(2,416,438)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(1,662,029)</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Research and development expenses</w:t>
            </w:r>
            <w:r>
              <w:rPr>
                <w:rFonts w:ascii="Times New Roman" w:cs="Times New Roman" w:eastAsia="Times New Roman" w:hAnsi="Times New Roman"/>
                <w:sz w:val="21"/>
                <w:szCs w:val="21"/>
                <w:b w:val="1"/>
                <w:bCs w:val="1"/>
                <w:color w:val="auto"/>
                <w:vertAlign w:val="superscript"/>
              </w:rPr>
              <w:t>5</w:t>
            </w: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(2,588,117)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(3,025,458)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(4,004,476)</w:t>
            </w:r>
          </w:p>
        </w:tc>
        <w:tc>
          <w:tcPr>
            <w:tcW w:w="0" w:type="dxa"/>
            <w:vAlign w:val="bottom"/>
          </w:tcPr>
          <w:p>
            <w:pPr>
              <w:spacing w:after="0"/>
              <w:rPr>
                <w:sz w:val="1"/>
                <w:szCs w:val="1"/>
                <w:color w:val="auto"/>
              </w:rPr>
            </w:pPr>
          </w:p>
        </w:tc>
      </w:tr>
      <w:tr>
        <w:trPr>
          <w:trHeight w:val="216"/>
        </w:trPr>
        <w:tc>
          <w:tcPr>
            <w:tcW w:w="522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Administrative and other operating expenses</w:t>
            </w:r>
            <w:r>
              <w:rPr>
                <w:rFonts w:ascii="Times New Roman" w:cs="Times New Roman" w:eastAsia="Times New Roman" w:hAnsi="Times New Roman"/>
                <w:sz w:val="21"/>
                <w:szCs w:val="21"/>
                <w:b w:val="1"/>
                <w:bCs w:val="1"/>
                <w:color w:val="auto"/>
                <w:vertAlign w:val="superscript"/>
              </w:rPr>
              <w:t>5</w:t>
            </w: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(11,203,672)</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(9,687,454)</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(10,559,225)</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(11,808,320)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(10,608,960)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(12,943,513)</w:t>
            </w:r>
          </w:p>
        </w:tc>
        <w:tc>
          <w:tcPr>
            <w:tcW w:w="0" w:type="dxa"/>
            <w:vAlign w:val="bottom"/>
          </w:tcPr>
          <w:p>
            <w:pPr>
              <w:spacing w:after="0"/>
              <w:rPr>
                <w:sz w:val="1"/>
                <w:szCs w:val="1"/>
                <w:color w:val="auto"/>
              </w:rPr>
            </w:pP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loss on financial assets at fair value through profit or loss</w:t>
            </w:r>
          </w:p>
        </w:tc>
        <w:tc>
          <w:tcPr>
            <w:tcW w:w="44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(141,106)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gain/(loss) on warrant liabilities</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105,210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(167,888)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926,739</w:t>
            </w:r>
          </w:p>
        </w:tc>
        <w:tc>
          <w:tcPr>
            <w:tcW w:w="0" w:type="dxa"/>
            <w:vAlign w:val="bottom"/>
          </w:tcPr>
          <w:p>
            <w:pPr>
              <w:spacing w:after="0"/>
              <w:rPr>
                <w:sz w:val="1"/>
                <w:szCs w:val="1"/>
                <w:color w:val="auto"/>
              </w:rPr>
            </w:pP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 of (loss)/profit of equity-accounted investees</w:t>
            </w: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(329,512)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(363,698)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54,567</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finance costs</w:t>
            </w: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(80,552)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(27,479)</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(35,492)</w:t>
            </w:r>
          </w:p>
        </w:tc>
        <w:tc>
          <w:tcPr>
            <w:tcW w:w="0" w:type="dxa"/>
            <w:vAlign w:val="bottom"/>
          </w:tcPr>
          <w:p>
            <w:pPr>
              <w:spacing w:after="0"/>
              <w:rPr>
                <w:sz w:val="1"/>
                <w:szCs w:val="1"/>
                <w:color w:val="auto"/>
              </w:rPr>
            </w:pPr>
          </w:p>
        </w:tc>
      </w:tr>
      <w:tr>
        <w:trPr>
          <w:trHeight w:val="207"/>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taxation</w:t>
            </w:r>
          </w:p>
        </w:tc>
        <w:tc>
          <w:tcPr>
            <w:tcW w:w="4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(12,113,174)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(11,309,131)</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(11,997,699)</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credit</w:t>
            </w: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75,307</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89,234</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11,544</w:t>
            </w:r>
          </w:p>
        </w:tc>
        <w:tc>
          <w:tcPr>
            <w:tcW w:w="0" w:type="dxa"/>
            <w:vAlign w:val="bottom"/>
          </w:tcPr>
          <w:p>
            <w:pPr>
              <w:spacing w:after="0"/>
              <w:rPr>
                <w:sz w:val="1"/>
                <w:szCs w:val="1"/>
                <w:color w:val="auto"/>
              </w:rPr>
            </w:pPr>
          </w:p>
        </w:tc>
      </w:tr>
      <w:tr>
        <w:trPr>
          <w:trHeight w:val="207"/>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continuing operations</w:t>
            </w:r>
          </w:p>
        </w:tc>
        <w:tc>
          <w:tcPr>
            <w:tcW w:w="4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(12,037,867)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(11,219,897)</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(11,986,155)</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Discontinued operation</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2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(Loss)/profit from discontinued operation, net of tax</w:t>
            </w:r>
            <w:r>
              <w:rPr>
                <w:rFonts w:ascii="Times New Roman" w:cs="Times New Roman" w:eastAsia="Times New Roman" w:hAnsi="Times New Roman"/>
                <w:sz w:val="21"/>
                <w:szCs w:val="21"/>
                <w:b w:val="1"/>
                <w:bCs w:val="1"/>
                <w:color w:val="auto"/>
                <w:vertAlign w:val="superscript"/>
              </w:rPr>
              <w:t>6</w:t>
            </w: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(28,963)</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74,160</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(2,094,298)</w:t>
            </w:r>
          </w:p>
        </w:tc>
        <w:tc>
          <w:tcPr>
            <w:tcW w:w="0" w:type="dxa"/>
            <w:vAlign w:val="bottom"/>
          </w:tcPr>
          <w:p>
            <w:pPr>
              <w:spacing w:after="0"/>
              <w:rPr>
                <w:sz w:val="1"/>
                <w:szCs w:val="1"/>
                <w:color w:val="auto"/>
              </w:rPr>
            </w:pPr>
          </w:p>
        </w:tc>
      </w:tr>
      <w:tr>
        <w:trPr>
          <w:trHeight w:val="21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 for the period</w:t>
            </w: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(12,066,830)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(11,145,737)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(14,080,453)</w:t>
            </w:r>
          </w:p>
        </w:tc>
        <w:tc>
          <w:tcPr>
            <w:tcW w:w="0" w:type="dxa"/>
            <w:vAlign w:val="bottom"/>
          </w:tcPr>
          <w:p>
            <w:pPr>
              <w:spacing w:after="0"/>
              <w:rPr>
                <w:sz w:val="1"/>
                <w:szCs w:val="1"/>
                <w:color w:val="auto"/>
              </w:rPr>
            </w:pPr>
          </w:p>
        </w:tc>
      </w:tr>
      <w:tr>
        <w:trPr>
          <w:trHeight w:val="214"/>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for the period</w:t>
            </w: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Item that may be reclassified subsequently to profit or loss:</w:t>
            </w: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Exchange difference on translation of foreign operations</w:t>
            </w: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474,278</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(339,976)</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(480,209)</w:t>
            </w:r>
          </w:p>
        </w:tc>
        <w:tc>
          <w:tcPr>
            <w:tcW w:w="0" w:type="dxa"/>
            <w:vAlign w:val="bottom"/>
          </w:tcPr>
          <w:p>
            <w:pPr>
              <w:spacing w:after="0"/>
              <w:rPr>
                <w:sz w:val="1"/>
                <w:szCs w:val="1"/>
                <w:color w:val="auto"/>
              </w:rPr>
            </w:pPr>
          </w:p>
        </w:tc>
      </w:tr>
      <w:tr>
        <w:trPr>
          <w:trHeight w:val="237"/>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 for the period</w:t>
            </w:r>
          </w:p>
        </w:tc>
        <w:tc>
          <w:tcPr>
            <w:tcW w:w="44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(11,592,552)</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(11,485,713)</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(14,560,662)</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Loss attributable to:</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52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shareholders of Prenetics</w:t>
            </w:r>
          </w:p>
        </w:tc>
        <w:tc>
          <w:tcPr>
            <w:tcW w:w="44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(10,672,236)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(10,721,954)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(13,570,455)</w:t>
            </w:r>
          </w:p>
        </w:tc>
        <w:tc>
          <w:tcPr>
            <w:tcW w:w="0" w:type="dxa"/>
            <w:vAlign w:val="bottom"/>
          </w:tcPr>
          <w:p>
            <w:pPr>
              <w:spacing w:after="0"/>
              <w:rPr>
                <w:sz w:val="1"/>
                <w:szCs w:val="1"/>
                <w:color w:val="auto"/>
              </w:rPr>
            </w:pPr>
          </w:p>
        </w:tc>
      </w:tr>
      <w:tr>
        <w:trPr>
          <w:trHeight w:val="213"/>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(1,394,594)</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(423,783)</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(509,998)</w:t>
            </w:r>
          </w:p>
        </w:tc>
        <w:tc>
          <w:tcPr>
            <w:tcW w:w="0" w:type="dxa"/>
            <w:vAlign w:val="bottom"/>
          </w:tcPr>
          <w:p>
            <w:pPr>
              <w:spacing w:after="0"/>
              <w:rPr>
                <w:sz w:val="1"/>
                <w:szCs w:val="1"/>
                <w:color w:val="auto"/>
              </w:rPr>
            </w:pPr>
          </w:p>
        </w:tc>
      </w:tr>
      <w:tr>
        <w:trPr>
          <w:trHeight w:val="235"/>
        </w:trPr>
        <w:tc>
          <w:tcPr>
            <w:tcW w:w="52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(12,066,830)</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(11,145,737)</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(14,080,453)</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 attributable to:</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52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shareholders of Prenetics</w:t>
            </w:r>
          </w:p>
        </w:tc>
        <w:tc>
          <w:tcPr>
            <w:tcW w:w="44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(10,252,010)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(10,924,679)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(14,000,699)</w:t>
            </w:r>
          </w:p>
        </w:tc>
        <w:tc>
          <w:tcPr>
            <w:tcW w:w="0" w:type="dxa"/>
            <w:vAlign w:val="bottom"/>
          </w:tcPr>
          <w:p>
            <w:pPr>
              <w:spacing w:after="0"/>
              <w:rPr>
                <w:sz w:val="1"/>
                <w:szCs w:val="1"/>
                <w:color w:val="auto"/>
              </w:rPr>
            </w:pPr>
          </w:p>
        </w:tc>
      </w:tr>
      <w:tr>
        <w:trPr>
          <w:trHeight w:val="213"/>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(1,340,542)</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(561,034)</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(559,963)</w:t>
            </w:r>
          </w:p>
        </w:tc>
        <w:tc>
          <w:tcPr>
            <w:tcW w:w="0" w:type="dxa"/>
            <w:vAlign w:val="bottom"/>
          </w:tcPr>
          <w:p>
            <w:pPr>
              <w:spacing w:after="0"/>
              <w:rPr>
                <w:sz w:val="1"/>
                <w:szCs w:val="1"/>
                <w:color w:val="auto"/>
              </w:rPr>
            </w:pPr>
          </w:p>
        </w:tc>
      </w:tr>
      <w:tr>
        <w:trPr>
          <w:trHeight w:val="234"/>
        </w:trPr>
        <w:tc>
          <w:tcPr>
            <w:tcW w:w="52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(11,592,552)</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(11,485,713)</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(14,560,662)</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Loss per share:</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52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44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 per share - Continuing operations:</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(0.98)</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(0.98)</w:t>
            </w:r>
          </w:p>
        </w:tc>
        <w:tc>
          <w:tcPr>
            <w:tcW w:w="0" w:type="dxa"/>
            <w:vAlign w:val="bottom"/>
          </w:tcPr>
          <w:p>
            <w:pPr>
              <w:spacing w:after="0"/>
              <w:rPr>
                <w:sz w:val="1"/>
                <w:szCs w:val="1"/>
                <w:color w:val="auto"/>
              </w:rPr>
            </w:pPr>
          </w:p>
        </w:tc>
      </w:tr>
      <w:tr>
        <w:trPr>
          <w:trHeight w:val="214"/>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number of common shares:</w:t>
            </w: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12,722,810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12,222,337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11,743,434</w:t>
            </w:r>
          </w:p>
        </w:tc>
        <w:tc>
          <w:tcPr>
            <w:tcW w:w="0" w:type="dxa"/>
            <w:vAlign w:val="bottom"/>
          </w:tcPr>
          <w:p>
            <w:pPr>
              <w:spacing w:after="0"/>
              <w:rPr>
                <w:sz w:val="1"/>
                <w:szCs w:val="1"/>
                <w:color w:val="auto"/>
              </w:rPr>
            </w:pPr>
          </w:p>
        </w:tc>
      </w:tr>
      <w:tr>
        <w:trPr>
          <w:trHeight w:val="210"/>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12,722,810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12,222,337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11,743,434</w:t>
            </w:r>
          </w:p>
        </w:tc>
        <w:tc>
          <w:tcPr>
            <w:tcW w:w="0" w:type="dxa"/>
            <w:vAlign w:val="bottom"/>
          </w:tcPr>
          <w:p>
            <w:pPr>
              <w:spacing w:after="0"/>
              <w:rPr>
                <w:sz w:val="1"/>
                <w:szCs w:val="1"/>
                <w:color w:val="auto"/>
              </w:rPr>
            </w:pPr>
          </w:p>
        </w:tc>
      </w:tr>
    </w:tbl>
    <w:p>
      <w:pPr>
        <w:sectPr>
          <w:pgSz w:w="11900" w:h="16838" w:orient="portrait"/>
          <w:cols w:equalWidth="0" w:num="1">
            <w:col w:w="11040"/>
          </w:cols>
          <w:pgMar w:left="320" w:top="1400" w:right="5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PRENETICS GLOBAL LIMITED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Non-IFRS Financial Measures</w:t>
      </w:r>
    </w:p>
    <w:p>
      <w:pPr>
        <w:spacing w:after="0"/>
        <w:rPr>
          <w:sz w:val="20"/>
          <w:szCs w:val="20"/>
          <w:color w:val="auto"/>
        </w:rPr>
      </w:pPr>
      <w:r>
        <w:rPr>
          <w:rFonts w:ascii="Times New Roman" w:cs="Times New Roman" w:eastAsia="Times New Roman" w:hAnsi="Times New Roman"/>
          <w:sz w:val="18"/>
          <w:szCs w:val="18"/>
          <w:i w:val="1"/>
          <w:iCs w:val="1"/>
          <w:color w:val="auto"/>
        </w:rPr>
        <w:t>(Expressed in United States dollars unless otherwise indicated)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loss from operations from continuing operations under IFRS and adjusted EBITDA loss from continuing operations (Non-IFRS)</w:t>
      </w:r>
    </w:p>
    <w:p>
      <w:pPr>
        <w:sectPr>
          <w:pgSz w:w="11900" w:h="16838" w:orient="portrait"/>
          <w:cols w:equalWidth="0" w:num="1">
            <w:col w:w="11240"/>
          </w:cols>
          <w:pgMar w:left="320" w:top="14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Loss from operations from continuing operations under IFRS</w:t>
      </w:r>
    </w:p>
    <w:p>
      <w:pPr>
        <w:spacing w:after="0" w:line="3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Employee equity-settled share-based payment expenses</w:t>
      </w:r>
    </w:p>
    <w:p>
      <w:pPr>
        <w:spacing w:after="0" w:line="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p>
      <w:pPr>
        <w:spacing w:after="0" w:line="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Amortization of deferred expenses</w:t>
      </w:r>
    </w:p>
    <w:p>
      <w:pPr>
        <w:spacing w:after="0" w:line="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Acquisition and transaction-related costs</w:t>
      </w:r>
    </w:p>
    <w:p>
      <w:pPr>
        <w:spacing w:after="0" w:line="32" w:lineRule="exact"/>
        <w:rPr>
          <w:sz w:val="20"/>
          <w:szCs w:val="20"/>
          <w:color w:val="auto"/>
        </w:rPr>
      </w:pPr>
    </w:p>
    <w:p>
      <w:pPr>
        <w:ind w:left="200" w:right="880"/>
        <w:spacing w:after="0" w:line="306" w:lineRule="auto"/>
        <w:rPr>
          <w:sz w:val="20"/>
          <w:szCs w:val="20"/>
          <w:color w:val="auto"/>
        </w:rPr>
      </w:pPr>
      <w:r>
        <w:rPr>
          <w:rFonts w:ascii="Times New Roman" w:cs="Times New Roman" w:eastAsia="Times New Roman" w:hAnsi="Times New Roman"/>
          <w:sz w:val="16"/>
          <w:szCs w:val="16"/>
          <w:color w:val="auto"/>
        </w:rPr>
        <w:t>Strategic realignment and discontinued products impact Finance income, exchange gain or loss, net</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Adjusted EBITDA loss from continuing operations (Non-IFRS)</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28" w:lineRule="exact"/>
        <w:rPr>
          <w:sz w:val="20"/>
          <w:szCs w:val="20"/>
          <w:color w:val="auto"/>
        </w:rPr>
      </w:pPr>
    </w:p>
    <w:tbl>
      <w:tblPr>
        <w:tblLayout w:type="fixed"/>
        <w:tblInd w:w="1940" w:type="dxa"/>
        <w:tblCellMar>
          <w:top w:w="0" w:type="dxa"/>
          <w:left w:w="0" w:type="dxa"/>
          <w:bottom w:w="0" w:type="dxa"/>
          <w:right w:w="0" w:type="dxa"/>
        </w:tblCellMar>
      </w:tblPr>
      <w:tr>
        <w:trPr>
          <w:trHeight w:val="211"/>
        </w:trPr>
        <w:tc>
          <w:tcPr>
            <w:tcW w:w="4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7"/>
        </w:trPr>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2023</w:t>
            </w:r>
          </w:p>
        </w:tc>
      </w:tr>
      <w:tr>
        <w:trPr>
          <w:trHeight w:val="209"/>
        </w:trPr>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(Restated)</w:t>
            </w:r>
          </w:p>
        </w:tc>
      </w:tr>
      <w:tr>
        <w:trPr>
          <w:trHeight w:val="214"/>
        </w:trPr>
        <w:tc>
          <w:tcPr>
            <w:tcW w:w="4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(31,576,195)</w:t>
            </w:r>
          </w:p>
        </w:tc>
        <w:tc>
          <w:tcPr>
            <w:tcW w:w="100" w:type="dxa"/>
            <w:vAlign w:val="bottom"/>
          </w:tcPr>
          <w:p>
            <w:pPr>
              <w:spacing w:after="0"/>
              <w:rPr>
                <w:sz w:val="18"/>
                <w:szCs w:val="18"/>
                <w:color w:val="auto"/>
              </w:rPr>
            </w:pPr>
          </w:p>
        </w:tc>
        <w:tc>
          <w:tcPr>
            <w:tcW w:w="4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(38,634,629)</w:t>
            </w:r>
          </w:p>
        </w:tc>
      </w:tr>
      <w:tr>
        <w:trPr>
          <w:trHeight w:val="216"/>
        </w:trPr>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4,861,707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10,632,798</w:t>
            </w:r>
          </w:p>
        </w:tc>
      </w:tr>
      <w:tr>
        <w:trPr>
          <w:trHeight w:val="216"/>
        </w:trPr>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4,530,392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5,106,206</w:t>
            </w:r>
          </w:p>
        </w:tc>
      </w:tr>
      <w:tr>
        <w:trPr>
          <w:trHeight w:val="216"/>
        </w:trPr>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6,195,173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6,064,443</w:t>
            </w:r>
          </w:p>
        </w:tc>
      </w:tr>
      <w:tr>
        <w:trPr>
          <w:trHeight w:val="216"/>
        </w:trPr>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1,824,210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162,678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1,767,296</w:t>
            </w:r>
          </w:p>
        </w:tc>
      </w:tr>
      <w:tr>
        <w:trPr>
          <w:trHeight w:val="219"/>
        </w:trPr>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(1,362,803)</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(3,579,732)</w:t>
            </w:r>
          </w:p>
        </w:tc>
      </w:tr>
      <w:tr>
        <w:trPr>
          <w:trHeight w:val="210"/>
        </w:trPr>
        <w:tc>
          <w:tcPr>
            <w:tcW w:w="4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(15,364,838)</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(18,643,618)</w:t>
            </w:r>
          </w:p>
        </w:tc>
      </w:tr>
      <w:tr>
        <w:trPr>
          <w:trHeight w:val="23"/>
        </w:trPr>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-3315970</wp:posOffset>
            </wp:positionH>
            <wp:positionV relativeFrom="paragraph">
              <wp:posOffset>-1139825</wp:posOffset>
            </wp:positionV>
            <wp:extent cx="6900545"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00545" cy="137160"/>
                    </a:xfrm>
                    <a:prstGeom prst="rect">
                      <a:avLst/>
                    </a:prstGeom>
                    <a:noFill/>
                  </pic:spPr>
                </pic:pic>
              </a:graphicData>
            </a:graphic>
          </wp:anchor>
        </w:drawing>
        <w:drawing>
          <wp:anchor simplePos="0" relativeHeight="251657728" behindDoc="1" locked="0" layoutInCell="0" allowOverlap="1">
            <wp:simplePos x="0" y="0"/>
            <wp:positionH relativeFrom="column">
              <wp:posOffset>-3315970</wp:posOffset>
            </wp:positionH>
            <wp:positionV relativeFrom="paragraph">
              <wp:posOffset>-864870</wp:posOffset>
            </wp:positionV>
            <wp:extent cx="6900545"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00545" cy="137160"/>
                    </a:xfrm>
                    <a:prstGeom prst="rect">
                      <a:avLst/>
                    </a:prstGeom>
                    <a:noFill/>
                  </pic:spPr>
                </pic:pic>
              </a:graphicData>
            </a:graphic>
          </wp:anchor>
        </w:drawing>
        <w:drawing>
          <wp:anchor simplePos="0" relativeHeight="251657728" behindDoc="1" locked="0" layoutInCell="0" allowOverlap="1">
            <wp:simplePos x="0" y="0"/>
            <wp:positionH relativeFrom="column">
              <wp:posOffset>-3315970</wp:posOffset>
            </wp:positionH>
            <wp:positionV relativeFrom="paragraph">
              <wp:posOffset>-591185</wp:posOffset>
            </wp:positionV>
            <wp:extent cx="690054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00545" cy="137160"/>
                    </a:xfrm>
                    <a:prstGeom prst="rect">
                      <a:avLst/>
                    </a:prstGeom>
                    <a:noFill/>
                  </pic:spPr>
                </pic:pic>
              </a:graphicData>
            </a:graphic>
          </wp:anchor>
        </w:drawing>
        <w:drawing>
          <wp:anchor simplePos="0" relativeHeight="251657728" behindDoc="1" locked="0" layoutInCell="0" allowOverlap="1">
            <wp:simplePos x="0" y="0"/>
            <wp:positionH relativeFrom="column">
              <wp:posOffset>-3315970</wp:posOffset>
            </wp:positionH>
            <wp:positionV relativeFrom="paragraph">
              <wp:posOffset>-316230</wp:posOffset>
            </wp:positionV>
            <wp:extent cx="690054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00545" cy="137160"/>
                    </a:xfrm>
                    <a:prstGeom prst="rect">
                      <a:avLst/>
                    </a:prstGeom>
                    <a:noFill/>
                  </pic:spPr>
                </pic:pic>
              </a:graphicData>
            </a:graphic>
          </wp:anchor>
        </w:drawing>
      </w:r>
    </w:p>
    <w:p>
      <w:pPr>
        <w:spacing w:after="0" w:line="342"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900" w:type="dxa"/>
            <w:vAlign w:val="bottom"/>
            <w:tcBorders>
              <w:top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900" w:type="dxa"/>
            <w:vAlign w:val="bottom"/>
            <w:tcBorders>
              <w:top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7"/>
        </w:trPr>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c>
          <w:tcPr>
            <w:tcW w:w="80" w:type="dxa"/>
            <w:vAlign w:val="bottom"/>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c>
          <w:tcPr>
            <w:tcW w:w="80" w:type="dxa"/>
            <w:vAlign w:val="bottom"/>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2023</w:t>
            </w:r>
          </w:p>
        </w:tc>
      </w:tr>
      <w:tr>
        <w:trPr>
          <w:trHeight w:val="209"/>
        </w:trPr>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(Restated)</w:t>
            </w:r>
          </w:p>
        </w:tc>
      </w:tr>
    </w:tbl>
    <w:p>
      <w:pPr>
        <w:spacing w:after="0" w:line="20" w:lineRule="exact"/>
        <w:rPr>
          <w:sz w:val="20"/>
          <w:szCs w:val="20"/>
          <w:color w:val="auto"/>
        </w:rPr>
      </w:pPr>
    </w:p>
    <w:p>
      <w:pPr>
        <w:sectPr>
          <w:pgSz w:w="11900" w:h="16838" w:orient="portrait"/>
          <w:cols w:equalWidth="0" w:num="2">
            <w:col w:w="4700" w:space="720"/>
            <w:col w:w="5820"/>
          </w:cols>
          <w:pgMar w:left="320" w:top="1400" w:right="339" w:bottom="1440" w:gutter="0" w:footer="0" w:header="0"/>
          <w:type w:val="continuous"/>
        </w:sectPr>
      </w:pPr>
    </w:p>
    <w:tbl>
      <w:tblPr>
        <w:tblLayout w:type="fixed"/>
        <w:tblInd w:w="220" w:type="dxa"/>
        <w:tblCellMar>
          <w:top w:w="0" w:type="dxa"/>
          <w:left w:w="0" w:type="dxa"/>
          <w:bottom w:w="0" w:type="dxa"/>
          <w:right w:w="0" w:type="dxa"/>
        </w:tblCellMar>
      </w:tblPr>
      <w:tr>
        <w:trPr>
          <w:trHeight w:val="20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 from operations from continuing operations under IFRS</w:t>
            </w: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(11,808,320)</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(10,608,960)</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(12,943,513)</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 equity-settled share-based payment expenses</w:t>
            </w:r>
          </w:p>
        </w:tc>
        <w:tc>
          <w:tcPr>
            <w:tcW w:w="5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1,388,861</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1,535,578</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4,348,329</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1,377,068</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1,433,769</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1,703,843</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deferred expenses</w:t>
            </w:r>
          </w:p>
        </w:tc>
        <w:tc>
          <w:tcPr>
            <w:tcW w:w="5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2,061,966</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2,044,934</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2,062,142</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and transaction-related costs</w:t>
            </w: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1,025,900</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798,310</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Strategic realignment and discontinued products impact</w:t>
            </w:r>
          </w:p>
        </w:tc>
        <w:tc>
          <w:tcPr>
            <w:tcW w:w="5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125,394</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28,994</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345,578</w:t>
            </w: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income, exchange gain or loss, net</w:t>
            </w:r>
          </w:p>
        </w:tc>
        <w:tc>
          <w:tcPr>
            <w:tcW w:w="5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31,980</w:t>
            </w:r>
          </w:p>
        </w:tc>
        <w:tc>
          <w:tcPr>
            <w:tcW w:w="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(694,194)</w:t>
            </w:r>
          </w:p>
        </w:tc>
        <w:tc>
          <w:tcPr>
            <w:tcW w:w="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(1,634,998)</w:t>
            </w:r>
          </w:p>
        </w:tc>
      </w:tr>
      <w:tr>
        <w:trPr>
          <w:trHeight w:val="212"/>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loss from continuing operations (Non-IFRS)</w:t>
            </w: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(5,797,151)</w:t>
            </w:r>
          </w:p>
        </w:tc>
        <w:tc>
          <w:tcPr>
            <w:tcW w:w="80" w:type="dxa"/>
            <w:vAlign w:val="bottom"/>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(5,461,569)</w:t>
            </w:r>
          </w:p>
        </w:tc>
        <w:tc>
          <w:tcPr>
            <w:tcW w:w="80" w:type="dxa"/>
            <w:vAlign w:val="bottom"/>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(6,118,619)</w:t>
            </w:r>
          </w:p>
        </w:tc>
      </w:tr>
      <w:tr>
        <w:trPr>
          <w:trHeight w:val="20"/>
        </w:trPr>
        <w:tc>
          <w:tcPr>
            <w:tcW w:w="5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t>
      </w:r>
    </w:p>
    <w:p>
      <w:pPr>
        <w:spacing w:after="0" w:line="9" w:lineRule="exact"/>
        <w:rPr>
          <w:sz w:val="20"/>
          <w:szCs w:val="20"/>
          <w:color w:val="auto"/>
        </w:rPr>
      </w:pPr>
    </w:p>
    <w:p>
      <w:pPr>
        <w:jc w:val="both"/>
        <w:ind w:firstLine="8"/>
        <w:spacing w:after="0" w:line="230" w:lineRule="auto"/>
        <w:tabs>
          <w:tab w:leader="none" w:pos="92" w:val="left"/>
        </w:tabs>
        <w:numPr>
          <w:ilvl w:val="0"/>
          <w:numId w:val="4"/>
        </w:numPr>
        <w:rPr>
          <w:rFonts w:ascii="Times New Roman" w:cs="Times New Roman" w:eastAsia="Times New Roman" w:hAnsi="Times New Roman"/>
          <w:sz w:val="21"/>
          <w:szCs w:val="21"/>
          <w:b w:val="1"/>
          <w:bCs w:val="1"/>
          <w:color w:val="auto"/>
          <w:vertAlign w:val="superscript"/>
        </w:rPr>
      </w:pPr>
      <w:r>
        <w:rPr>
          <w:rFonts w:ascii="Times New Roman" w:cs="Times New Roman" w:eastAsia="Times New Roman" w:hAnsi="Times New Roman"/>
          <w:sz w:val="16"/>
          <w:szCs w:val="16"/>
          <w:color w:val="auto"/>
        </w:rPr>
        <w:t xml:space="preserve">In connection with the acquisition of ACT Genomics, the remaining shareholders of ACT Genomics - representing 25.61% of the fully diluted shareholding of ACT Genomics that Prenetics does not own - were granted put options which allow these remaining shareholders to put their remaining shares to Prenetics under certain conditions. The liabilities arising from such put option are recorded as </w:t>
      </w:r>
      <w:r>
        <w:rPr>
          <w:rFonts w:ascii="Times New Roman" w:cs="Times New Roman" w:eastAsia="Times New Roman" w:hAnsi="Times New Roman"/>
          <w:sz w:val="16"/>
          <w:szCs w:val="16"/>
          <w:i w:val="1"/>
          <w:iCs w:val="1"/>
          <w:color w:val="auto"/>
        </w:rPr>
        <w:t>liabilities for puttable financial instrument</w:t>
      </w:r>
      <w:r>
        <w:rPr>
          <w:rFonts w:ascii="Times New Roman" w:cs="Times New Roman" w:eastAsia="Times New Roman" w:hAnsi="Times New Roman"/>
          <w:sz w:val="16"/>
          <w:szCs w:val="16"/>
          <w:color w:val="auto"/>
        </w:rPr>
        <w:t>, and are valued at the present value of the exercise price of the put option. As of September 30, 2024, the shareholding of ACT Genomics was diluted, with the remaining shareholders holding 26.73%.</w:t>
      </w:r>
    </w:p>
    <w:p>
      <w:pPr>
        <w:spacing w:after="0" w:line="179" w:lineRule="exact"/>
        <w:rPr>
          <w:sz w:val="20"/>
          <w:szCs w:val="20"/>
          <w:color w:val="auto"/>
        </w:rPr>
      </w:pPr>
    </w:p>
    <w:p>
      <w:pPr>
        <w:ind w:left="80" w:hanging="72"/>
        <w:spacing w:after="0"/>
        <w:tabs>
          <w:tab w:leader="none" w:pos="80" w:val="left"/>
        </w:tabs>
        <w:numPr>
          <w:ilvl w:val="0"/>
          <w:numId w:val="5"/>
        </w:numPr>
        <w:rPr>
          <w:rFonts w:ascii="Times New Roman" w:cs="Times New Roman" w:eastAsia="Times New Roman" w:hAnsi="Times New Roman"/>
          <w:sz w:val="21"/>
          <w:szCs w:val="21"/>
          <w:b w:val="1"/>
          <w:bCs w:val="1"/>
          <w:color w:val="auto"/>
          <w:vertAlign w:val="superscript"/>
        </w:rPr>
      </w:pPr>
      <w:r>
        <w:rPr>
          <w:rFonts w:ascii="Times New Roman" w:cs="Times New Roman" w:eastAsia="Times New Roman" w:hAnsi="Times New Roman"/>
          <w:sz w:val="16"/>
          <w:szCs w:val="16"/>
          <w:color w:val="auto"/>
        </w:rPr>
        <w:t>Includes equity-settled share-based payment expenses from continuing operations as follows:</w:t>
      </w:r>
    </w:p>
    <w:p>
      <w:pPr>
        <w:spacing w:after="0" w:line="274" w:lineRule="exact"/>
        <w:rPr>
          <w:sz w:val="20"/>
          <w:szCs w:val="20"/>
          <w:color w:val="auto"/>
        </w:rPr>
      </w:pPr>
    </w:p>
    <w:tbl>
      <w:tblPr>
        <w:tblLayout w:type="fixed"/>
        <w:tblInd w:w="200" w:type="dxa"/>
        <w:tblCellMar>
          <w:top w:w="0" w:type="dxa"/>
          <w:left w:w="0" w:type="dxa"/>
          <w:bottom w:w="0" w:type="dxa"/>
          <w:right w:w="0" w:type="dxa"/>
        </w:tblCellMar>
      </w:tblPr>
      <w:tr>
        <w:trPr>
          <w:trHeight w:val="215"/>
        </w:trPr>
        <w:tc>
          <w:tcPr>
            <w:tcW w:w="71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80" w:type="dxa"/>
            <w:vAlign w:val="bottom"/>
            <w:tcBorders>
              <w:bottom w:val="single" w:sz="8" w:color="auto"/>
            </w:tcBorders>
          </w:tcPr>
          <w:p>
            <w:pPr>
              <w:spacing w:after="0"/>
              <w:rPr>
                <w:sz w:val="18"/>
                <w:szCs w:val="18"/>
                <w:color w:val="auto"/>
              </w:rPr>
            </w:pPr>
          </w:p>
        </w:tc>
      </w:tr>
      <w:tr>
        <w:trPr>
          <w:trHeight w:val="208"/>
        </w:trPr>
        <w:tc>
          <w:tcPr>
            <w:tcW w:w="7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7"/>
        </w:trPr>
        <w:tc>
          <w:tcPr>
            <w:tcW w:w="71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c>
          <w:tcPr>
            <w:tcW w:w="1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2023</w:t>
            </w:r>
          </w:p>
        </w:tc>
      </w:tr>
      <w:tr>
        <w:trPr>
          <w:trHeight w:val="211"/>
        </w:trPr>
        <w:tc>
          <w:tcPr>
            <w:tcW w:w="7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(Restated)</w:t>
            </w:r>
          </w:p>
        </w:tc>
      </w:tr>
      <w:tr>
        <w:trPr>
          <w:trHeight w:val="218"/>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 costs</w:t>
            </w:r>
          </w:p>
        </w:tc>
        <w:tc>
          <w:tcPr>
            <w:tcW w:w="44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Selling and distribution expenses</w:t>
            </w: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5,054</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100,561</w:t>
            </w:r>
          </w:p>
        </w:tc>
      </w:tr>
      <w:tr>
        <w:trPr>
          <w:trHeight w:val="219"/>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2,258,374</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2,891,754</w:t>
            </w:r>
          </w:p>
        </w:tc>
      </w:tr>
      <w:tr>
        <w:trPr>
          <w:trHeight w:val="213"/>
        </w:trPr>
        <w:tc>
          <w:tcPr>
            <w:tcW w:w="7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Administrative and other operating expenses</w:t>
            </w: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2,360,340</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7,576,866</w:t>
            </w:r>
          </w:p>
        </w:tc>
      </w:tr>
      <w:tr>
        <w:trPr>
          <w:trHeight w:val="237"/>
        </w:trPr>
        <w:tc>
          <w:tcPr>
            <w:tcW w:w="7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equity-settled share-based payment expenses</w:t>
            </w:r>
          </w:p>
        </w:tc>
        <w:tc>
          <w:tcPr>
            <w:tcW w:w="44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4,624,794</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10,569,181</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400" w:right="339" w:bottom="1440" w:gutter="0" w:footer="0" w:header="0"/>
          <w:type w:val="continuous"/>
        </w:sectPr>
      </w:pPr>
    </w:p>
    <w:bookmarkStart w:id="10" w:name="page11"/>
    <w:bookmarkEnd w:id="10"/>
    <w:p>
      <w:pPr>
        <w:spacing w:after="0" w:line="21" w:lineRule="exact"/>
        <w:rPr>
          <w:sz w:val="20"/>
          <w:szCs w:val="20"/>
          <w:color w:val="auto"/>
        </w:rPr>
      </w:pPr>
    </w:p>
    <w:tbl>
      <w:tblPr>
        <w:tblLayout w:type="fixed"/>
        <w:tblInd w:w="212"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208"/>
        </w:trPr>
        <w:tc>
          <w:tcPr>
            <w:tcW w:w="5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7"/>
        </w:trPr>
        <w:tc>
          <w:tcPr>
            <w:tcW w:w="52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2023</w:t>
            </w:r>
          </w:p>
        </w:tc>
      </w:tr>
      <w:tr>
        <w:trPr>
          <w:trHeight w:val="211"/>
        </w:trPr>
        <w:tc>
          <w:tcPr>
            <w:tcW w:w="5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(Restated)</w:t>
            </w:r>
          </w:p>
        </w:tc>
      </w:tr>
      <w:tr>
        <w:trPr>
          <w:trHeight w:val="21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 costs</w:t>
            </w:r>
          </w:p>
        </w:tc>
        <w:tc>
          <w:tcPr>
            <w:tcW w:w="44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and distribution expenses</w:t>
            </w: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(3,307)</w:t>
            </w: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689,530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810,450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1,530,858</w:t>
            </w:r>
          </w:p>
        </w:tc>
      </w:tr>
      <w:tr>
        <w:trPr>
          <w:trHeight w:val="213"/>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Administrative and other operating expenses</w:t>
            </w: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504,597</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699,991</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2,798,696</w:t>
            </w:r>
          </w:p>
        </w:tc>
      </w:tr>
      <w:tr>
        <w:trPr>
          <w:trHeight w:val="237"/>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equity-settled share-based payment expenses</w:t>
            </w:r>
          </w:p>
        </w:tc>
        <w:tc>
          <w:tcPr>
            <w:tcW w:w="44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1,197,723</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1,511,291</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4,326,247</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left="-8" w:firstLine="8"/>
        <w:spacing w:after="0" w:line="226" w:lineRule="auto"/>
        <w:tabs>
          <w:tab w:leader="none" w:pos="105" w:val="left"/>
        </w:tabs>
        <w:numPr>
          <w:ilvl w:val="0"/>
          <w:numId w:val="6"/>
        </w:numPr>
        <w:rPr>
          <w:rFonts w:ascii="Times New Roman" w:cs="Times New Roman" w:eastAsia="Times New Roman" w:hAnsi="Times New Roman"/>
          <w:sz w:val="21"/>
          <w:szCs w:val="21"/>
          <w:b w:val="1"/>
          <w:bCs w:val="1"/>
          <w:color w:val="auto"/>
          <w:vertAlign w:val="superscript"/>
        </w:rPr>
      </w:pPr>
      <w:r>
        <w:rPr>
          <w:rFonts w:ascii="Times New Roman" w:cs="Times New Roman" w:eastAsia="Times New Roman" w:hAnsi="Times New Roman"/>
          <w:sz w:val="16"/>
          <w:szCs w:val="16"/>
          <w:color w:val="auto"/>
        </w:rPr>
        <w:t xml:space="preserve">We ceased our COVID-19 testing business entirely in 2023 Q2, and other DNA testing operations in the EMEA regions in 2023 Q4. As a result, COVID-19 testing business and the operations in the EMEA regions are reported as a discontinued operation under IFRS 5 </w:t>
      </w:r>
      <w:r>
        <w:rPr>
          <w:rFonts w:ascii="Times New Roman" w:cs="Times New Roman" w:eastAsia="Times New Roman" w:hAnsi="Times New Roman"/>
          <w:sz w:val="16"/>
          <w:szCs w:val="16"/>
          <w:i w:val="1"/>
          <w:iCs w:val="1"/>
          <w:color w:val="auto"/>
        </w:rPr>
        <w:t>Non-current Assets Held for Sale and Discontinued Operations</w:t>
      </w:r>
      <w:r>
        <w:rPr>
          <w:rFonts w:ascii="Times New Roman" w:cs="Times New Roman" w:eastAsia="Times New Roman" w:hAnsi="Times New Roman"/>
          <w:sz w:val="16"/>
          <w:szCs w:val="16"/>
          <w:color w:val="auto"/>
        </w:rPr>
        <w:t>. In accordance with IFRS 5, the results of the discontinued operation have been presented separately from the continuing operations in the consolidated statements of profit or loss and other comprehensive income.</w:t>
      </w:r>
    </w:p>
    <w:sectPr>
      <w:pgSz w:w="11900" w:h="16838" w:orient="portrait"/>
      <w:cols w:equalWidth="0" w:num="1">
        <w:col w:w="11232"/>
      </w:cols>
      <w:pgMar w:left="328"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bullet"/>
      <w:start w:val="1"/>
    </w:lvl>
  </w:abstractNum>
  <w:abstractNum w:abstractNumId="3">
    <w:nsid w:val="46E87CCD"/>
    <w:multiLevelType w:val="hybridMultilevel"/>
    <w:lvl w:ilvl="0">
      <w:lvlJc w:val="left"/>
      <w:lvlText w:val="4"/>
      <w:numFmt w:val="bullet"/>
      <w:start w:val="1"/>
    </w:lvl>
  </w:abstractNum>
  <w:abstractNum w:abstractNumId="4">
    <w:nsid w:val="3D1B58BA"/>
    <w:multiLevelType w:val="hybridMultilevel"/>
    <w:lvl w:ilvl="0">
      <w:lvlJc w:val="left"/>
      <w:lvlText w:val="5"/>
      <w:numFmt w:val="bullet"/>
      <w:start w:val="1"/>
    </w:lvl>
  </w:abstractNum>
  <w:abstractNum w:abstractNumId="5">
    <w:nsid w:val="507ED7AB"/>
    <w:multiLevelType w:val="hybridMultilevel"/>
    <w:lvl w:ilvl="0">
      <w:lvlJc w:val="left"/>
      <w:lvlText w:val="6"/>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2024-11-27T07:42:49Z</dcterms:created>
  <dcterms:modified xsi:type="dcterms:W3CDTF">2024-11-27T07:42:49Z</dcterms:modified>
</cp:coreProperties>
</file>