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25850.xml.htm"/>
      <w:bookmarkStart w:id="1" w:name="kswkform4_17885258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Leogrande Hudson Blake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703-706, K11 ATELIER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728 KINGS ROAD, QUARRY BAY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HONG KONG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Prenetics Global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1"/>
        <w:gridCol w:w="902"/>
        <w:gridCol w:w="771"/>
        <w:gridCol w:w="599"/>
        <w:gridCol w:w="352"/>
        <w:gridCol w:w="899"/>
        <w:gridCol w:w="465"/>
        <w:gridCol w:w="627"/>
        <w:gridCol w:w="1181"/>
        <w:gridCol w:w="1010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Share, par value $0.0015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6,001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06/04/2032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Share, par value $0.0015 per share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18,003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1. Represents 2,000 Class A Ordinary Shares of the Issuer issued and delivered upon settlement of vested Restricted Stock Units ("RSUs") granted under the Issuer's 2022 Share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RSU, granted under the Issuer's 2022 Share Incentive Plan, represents a contingent right to receive one Class A Ordinary Share. The 2,000 RSUs vested on June 4,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Hoi Chun Lo, as attorney-in-fact for Hudson Blake Leogrande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0128" TargetMode="External"/><Relationship Id="rId5" Type="http://schemas.openxmlformats.org/officeDocument/2006/relationships/hyperlink" Target="http://www.sec.gov/cgi-bin/browse-edgar?action=getcompany&amp;CIK=000187643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664</Words>
  <Characters>3573</Characters>
  <CharactersWithSpaces>4157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