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107315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121920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158"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122555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121920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Unit 703-706, K11 Atelier King’s Road</w:t>
      </w:r>
    </w:p>
    <w:p>
      <w:pPr>
        <w:ind w:left="4540"/>
        <w:spacing w:after="0" w:line="201" w:lineRule="auto"/>
        <w:rPr>
          <w:sz w:val="20"/>
          <w:szCs w:val="20"/>
          <w:color w:val="auto"/>
        </w:rPr>
      </w:pPr>
      <w:r>
        <w:rPr>
          <w:rFonts w:ascii="Times New Roman" w:cs="Times New Roman" w:eastAsia="Times New Roman" w:hAnsi="Times New Roman"/>
          <w:sz w:val="17"/>
          <w:szCs w:val="17"/>
          <w:b w:val="1"/>
          <w:bCs w:val="1"/>
          <w:color w:val="auto"/>
        </w:rPr>
        <w:t>728 King’s Road, Quarry Bay</w:t>
      </w:r>
    </w:p>
    <w:p>
      <w:pPr>
        <w:jc w:val="center"/>
        <w:ind w:right="-1019"/>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20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120015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(this “Report”), shall be deemed to be incorporated by reference into the registration statements on Form F-3 (File nos. 333-</w:t>
      </w:r>
    </w:p>
    <w:p>
      <w:pPr>
        <w:spacing w:after="0" w:line="2" w:lineRule="exact"/>
        <w:rPr>
          <w:sz w:val="20"/>
          <w:szCs w:val="20"/>
          <w:color w:val="auto"/>
        </w:rPr>
      </w:pPr>
    </w:p>
    <w:p>
      <w:pPr>
        <w:jc w:val="both"/>
        <w:ind w:right="320"/>
        <w:spacing w:after="0" w:line="218" w:lineRule="auto"/>
        <w:rPr>
          <w:sz w:val="20"/>
          <w:szCs w:val="20"/>
          <w:color w:val="auto"/>
        </w:rPr>
      </w:pPr>
      <w:r>
        <w:rPr>
          <w:rFonts w:ascii="Times New Roman" w:cs="Times New Roman" w:eastAsia="Times New Roman" w:hAnsi="Times New Roman"/>
          <w:sz w:val="18"/>
          <w:szCs w:val="18"/>
          <w:color w:val="auto"/>
        </w:rPr>
        <w:t>265284 and 333-276538) and Form S-8 (File Nos. 333-279019, 333-271552 and 333-267956) of Prenetics Global Limited (including any prospectuses forming a part of such registration statements) and to be a part thereof from the date on which this Report is furnished, to the extent not superseded by documents or reports subsequently filed or furnished.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OF RESULTS OF OPERATIONS</w:t>
      </w:r>
    </w:p>
    <w:p>
      <w:pPr>
        <w:spacing w:after="0" w:line="21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We hereby furnish the United States Securities and Exchange Commission with copies of the following information about our public disclosures regarding our unaudited financial results for the first quarter ended March 31, 2024, along with recent business updates.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1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As part of our strategic repositioning into a new business vertical of consumer health, we are pleased to announce the appointment of Ms. Kathryn Henry and Mr. David Eric Vanderveen as independent directors to our Board of Directors, effective June 13, 2024, and June 16, 2024, respectively. Their biographies are set out below:</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Kathryn Henry</w:t>
      </w:r>
    </w:p>
    <w:p>
      <w:pPr>
        <w:spacing w:after="0" w:line="216"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Ms. Henry is currently an independent director at Lululemon, where she has been a board member for more than 8 years and serves as a member of the Audit &amp; Compensation Committee. She provides strategic consulting to consumer retail and technology companies, as well as venture capital, investment,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consulting firms seeking executive-level guidance.</w:t>
      </w:r>
    </w:p>
    <w:p>
      <w:pPr>
        <w:spacing w:after="0" w:line="192"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18"/>
          <w:szCs w:val="18"/>
          <w:color w:val="auto"/>
        </w:rPr>
        <w:t>Ms. Henry previously served as Chief Information Officer, Logistics &amp; Distribution at Lululemon from 2010 to 2014, where she oversaw all global information and technology operations for the company.</w:t>
      </w:r>
    </w:p>
    <w:p>
      <w:pPr>
        <w:spacing w:after="0" w:line="19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Prior to joining Lululemon in 2010, Ms. Henry worked at Gap, Inc., where she served as Vice President and Chief Information Officer of International IT and Gap North America. She was responsible for the systems support of key international growth initiatives. Previously, she was Vice President of Dockers Business Divestiture and Vice President of Global IT Strategy &amp; Development at Levi Strauss &amp; Co.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Addition to Prenetics:</w:t>
      </w:r>
    </w:p>
    <w:p>
      <w:pPr>
        <w:spacing w:after="0" w:line="216"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color w:val="auto"/>
        </w:rPr>
        <w:t>Ms. Henry’s extensive experience in leading global information and technology operations, especially in consumer retail and technology sectors, aligns perfectly with Prenetics' strategic positioning into consumer health. Her proven track record in strategic consultancy for technology companies, coupled</w:t>
      </w:r>
    </w:p>
    <w:p>
      <w:pPr>
        <w:ind w:right="520"/>
        <w:spacing w:after="0" w:line="226" w:lineRule="auto"/>
        <w:rPr>
          <w:sz w:val="20"/>
          <w:szCs w:val="20"/>
          <w:color w:val="auto"/>
        </w:rPr>
      </w:pPr>
      <w:r>
        <w:rPr>
          <w:rFonts w:ascii="Times New Roman" w:cs="Times New Roman" w:eastAsia="Times New Roman" w:hAnsi="Times New Roman"/>
          <w:sz w:val="18"/>
          <w:szCs w:val="18"/>
          <w:color w:val="auto"/>
        </w:rPr>
        <w:t>with her deep understanding of international IT infrastructure, will be instrumental in driving Prenetics' technological advancements and operational efficiencies.</w:t>
      </w:r>
    </w:p>
    <w:p>
      <w:pPr>
        <w:spacing w:after="0" w:line="180" w:lineRule="exact"/>
        <w:rPr>
          <w:sz w:val="20"/>
          <w:szCs w:val="20"/>
          <w:color w:val="auto"/>
        </w:rPr>
      </w:pPr>
    </w:p>
    <w:p>
      <w:pPr>
        <w:ind w:left="660" w:right="520" w:hanging="328"/>
        <w:spacing w:after="0" w:line="255"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Strategic Leadership and Innovation</w:t>
      </w:r>
      <w:r>
        <w:rPr>
          <w:rFonts w:ascii="Times New Roman" w:cs="Times New Roman" w:eastAsia="Times New Roman" w:hAnsi="Times New Roman"/>
          <w:sz w:val="17"/>
          <w:szCs w:val="17"/>
          <w:color w:val="auto"/>
        </w:rPr>
        <w:t>: Ms. Henry’s background as a strategic consultant for retail and technology companies will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Prenetics with cutting-edge insights and innovative strategies necessary for penetrating and expanding in the consumer health market.</w:t>
      </w:r>
    </w:p>
    <w:p>
      <w:pPr>
        <w:ind w:left="660" w:right="280" w:hanging="328"/>
        <w:spacing w:after="0" w:line="204"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Operational Excellence</w:t>
      </w:r>
      <w:r>
        <w:rPr>
          <w:rFonts w:ascii="Times New Roman" w:cs="Times New Roman" w:eastAsia="Times New Roman" w:hAnsi="Times New Roman"/>
          <w:sz w:val="18"/>
          <w:szCs w:val="18"/>
          <w:color w:val="auto"/>
        </w:rPr>
        <w:t>: Her experience overseeing logistics and distribution at Lululemon will be invaluable in optimizing Prenetics’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 and distribution networks, ensuring efficient and reliable delivery of health solutions.</w:t>
      </w:r>
    </w:p>
    <w:p>
      <w:pPr>
        <w:ind w:left="660" w:right="660" w:hanging="328"/>
        <w:spacing w:after="0" w:line="221" w:lineRule="auto"/>
        <w:tabs>
          <w:tab w:leader="none" w:pos="6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Technological Advancement</w:t>
      </w:r>
      <w:r>
        <w:rPr>
          <w:rFonts w:ascii="Times New Roman" w:cs="Times New Roman" w:eastAsia="Times New Roman" w:hAnsi="Times New Roman"/>
          <w:sz w:val="17"/>
          <w:szCs w:val="17"/>
          <w:color w:val="auto"/>
        </w:rPr>
        <w:t>: With her extensive experience as a chief information officer, Ms. Henry will guide Prenetics in leveraging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advanced IT solutions to enhance consumer health platforms, ensuring robust, secure, and scalable technological infrastructure.</w:t>
      </w:r>
    </w:p>
    <w:p>
      <w:pPr>
        <w:ind w:left="660" w:right="460" w:hanging="328"/>
        <w:spacing w:after="0" w:line="205"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Global Expansion</w:t>
      </w:r>
      <w:r>
        <w:rPr>
          <w:rFonts w:ascii="Times New Roman" w:cs="Times New Roman" w:eastAsia="Times New Roman" w:hAnsi="Times New Roman"/>
          <w:sz w:val="18"/>
          <w:szCs w:val="18"/>
          <w:color w:val="auto"/>
        </w:rPr>
        <w:t>: Ms. Henry’s role in supporting key international growth initiatives at Lululemon and Gap, Inc. will support Prenetics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navigating and expanding its footprint in global markets, adapting to varying regulatory and consumer landscapes.</w:t>
      </w:r>
    </w:p>
    <w:p>
      <w:pPr>
        <w:ind w:left="660" w:right="620" w:hanging="328"/>
        <w:spacing w:after="0" w:line="210"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Governance and Compliance</w:t>
      </w:r>
      <w:r>
        <w:rPr>
          <w:rFonts w:ascii="Times New Roman" w:cs="Times New Roman" w:eastAsia="Times New Roman" w:hAnsi="Times New Roman"/>
          <w:sz w:val="18"/>
          <w:szCs w:val="18"/>
          <w:color w:val="auto"/>
        </w:rPr>
        <w:t>: Her governance experience from various leadership roles will strengthen Prenetics’ 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ensuring compliance with industry standards and fostering investor confidence.</w:t>
      </w:r>
    </w:p>
    <w:p>
      <w:pPr>
        <w:spacing w:after="0" w:line="1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By integrating Ms. Henry’s expertise, Prenetics will be well-positioned to achieve its strategic goals, driving innovation, operational efficiency, and global growth in the consumer health sector.</w:t>
      </w:r>
    </w:p>
    <w:p>
      <w:pPr>
        <w:sectPr>
          <w:pgSz w:w="11900" w:h="16838" w:orient="portrait"/>
          <w:cols w:equalWidth="0" w:num="1">
            <w:col w:w="11200"/>
          </w:cols>
          <w:pgMar w:left="320" w:top="1400" w:right="379" w:bottom="1440" w:gutter="0" w:footer="0" w:header="0"/>
        </w:sectPr>
      </w:pPr>
    </w:p>
    <w:bookmarkStart w:id="2" w:name="page3"/>
    <w:bookmarkEnd w:id="2"/>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David Eric Vanderveen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Vanderveen has had a successful 30-year track record in beverage, nutrition, and technology, leading disruptive change at both private and public</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companies. From 2022 until recently, he was CEO of Nirvana Water Sciences, where he developed a team of industry beverage, functional beverage, and supplement experts to transform the brand, product portfolio, go-to-market strategy, and execution of the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2002 to 2015, Mr. Vanderveen was the founder and CEO of XS Worldwide, a company with a portfolio of energy drinks and sports nutrition</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products. XS partnered with Amway Corporation and became the fastest-growing business segment and category for the world’s largest direct seller, reaching annual sales over $400 million with distribution in more than 60 countries. XS was sold to Amway in 2015, where Mr. Vanderveen served as Vice President and Global General Manager for the XS brand, achieving maximum earn-out through 2018.</w:t>
      </w:r>
    </w:p>
    <w:p>
      <w:pPr>
        <w:spacing w:after="0" w:line="199"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Mr. Vanderveen is also an advisor and limited partner at RX3 Growth Partners, a private equity firm that partners with consumer brands and other leading investment firms to maximize value by leveraging its unique influencer base of athletes, celebrities, and thought leaders, and is a general partner in LLB Global Fund, an international arbitration fund in partnership with French law firm, Lazareff Le Bars.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Addition to Prenetics:</w:t>
      </w:r>
    </w:p>
    <w:p>
      <w:pPr>
        <w:spacing w:after="0" w:line="2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Mr. Vanderveen’s extensive experience in the beverage, nutrition, and technology sectors, along with his proven track record in leading disruptive change, aligns seamlessly with Prenetics' strategic positioning into consumer health. His expertise will be instrumental in driving Prenetics' innovation, market</w:t>
      </w:r>
    </w:p>
    <w:p>
      <w:pPr>
        <w:spacing w:after="0"/>
        <w:rPr>
          <w:sz w:val="20"/>
          <w:szCs w:val="20"/>
          <w:color w:val="auto"/>
        </w:rPr>
      </w:pPr>
      <w:r>
        <w:rPr>
          <w:rFonts w:ascii="Times New Roman" w:cs="Times New Roman" w:eastAsia="Times New Roman" w:hAnsi="Times New Roman"/>
          <w:sz w:val="18"/>
          <w:szCs w:val="18"/>
          <w:color w:val="auto"/>
        </w:rPr>
        <w:t>expansion, and operational excellence.</w:t>
      </w:r>
    </w:p>
    <w:p>
      <w:pPr>
        <w:spacing w:after="0" w:line="188" w:lineRule="exact"/>
        <w:rPr>
          <w:sz w:val="20"/>
          <w:szCs w:val="20"/>
          <w:color w:val="auto"/>
        </w:rPr>
      </w:pPr>
    </w:p>
    <w:p>
      <w:pPr>
        <w:ind w:left="660" w:right="140" w:hanging="328"/>
        <w:spacing w:after="0" w:line="23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Leadership and Innovation</w:t>
      </w:r>
      <w:r>
        <w:rPr>
          <w:rFonts w:ascii="Times New Roman" w:cs="Times New Roman" w:eastAsia="Times New Roman" w:hAnsi="Times New Roman"/>
          <w:sz w:val="18"/>
          <w:szCs w:val="18"/>
          <w:color w:val="auto"/>
        </w:rPr>
        <w:t>: Mr. Vanderveen’s background in founding and leading successful beverage and nutrition companies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Prenetics with innovative strategies and leadership essential for pioneering in the consumer health market.</w:t>
      </w:r>
    </w:p>
    <w:p>
      <w:pPr>
        <w:spacing w:after="0" w:line="1" w:lineRule="exact"/>
        <w:rPr>
          <w:rFonts w:ascii="Times New Roman" w:cs="Times New Roman" w:eastAsia="Times New Roman" w:hAnsi="Times New Roman"/>
          <w:sz w:val="18"/>
          <w:szCs w:val="18"/>
          <w:color w:val="auto"/>
        </w:rPr>
      </w:pPr>
    </w:p>
    <w:p>
      <w:pPr>
        <w:ind w:left="660" w:right="240" w:hanging="328"/>
        <w:spacing w:after="0" w:line="205"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Market Expansion and Growth</w:t>
      </w:r>
      <w:r>
        <w:rPr>
          <w:rFonts w:ascii="Times New Roman" w:cs="Times New Roman" w:eastAsia="Times New Roman" w:hAnsi="Times New Roman"/>
          <w:sz w:val="18"/>
          <w:szCs w:val="18"/>
          <w:color w:val="auto"/>
        </w:rPr>
        <w:t>: His experience in growing global brands and navigating post-acquisition transitions will support Prenetics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expanding its market presence and scaling its operations effectively across diverse global markets.</w:t>
      </w:r>
    </w:p>
    <w:p>
      <w:pPr>
        <w:ind w:left="660" w:right="40" w:hanging="328"/>
        <w:spacing w:after="0" w:line="215" w:lineRule="auto"/>
        <w:tabs>
          <w:tab w:leader="none" w:pos="6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Product Development and Market Strategy</w:t>
      </w:r>
      <w:r>
        <w:rPr>
          <w:rFonts w:ascii="Times New Roman" w:cs="Times New Roman" w:eastAsia="Times New Roman" w:hAnsi="Times New Roman"/>
          <w:sz w:val="17"/>
          <w:szCs w:val="17"/>
          <w:color w:val="auto"/>
        </w:rPr>
        <w:t>: Mr. Vanderveen’s role in transforming brands and product portfolios will be invaluable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enhancing Prenetics’ product development processes and go-to-market strategies, ensuring the delivery of high-quality consumer health solutions.</w:t>
      </w:r>
    </w:p>
    <w:p>
      <w:pPr>
        <w:ind w:left="660" w:hanging="328"/>
        <w:spacing w:after="0" w:line="21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Operational Excellence</w:t>
      </w:r>
      <w:r>
        <w:rPr>
          <w:rFonts w:ascii="Times New Roman" w:cs="Times New Roman" w:eastAsia="Times New Roman" w:hAnsi="Times New Roman"/>
          <w:sz w:val="18"/>
          <w:szCs w:val="18"/>
          <w:color w:val="auto"/>
        </w:rPr>
        <w:t>: With his experience in leading operational transformations at various companies, Mr. Vanderveen will guide Prenetics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optimizing its operations, improving efficiency, and achieving sustainable growth.</w:t>
      </w:r>
    </w:p>
    <w:p>
      <w:pPr>
        <w:ind w:left="660" w:right="280" w:hanging="328"/>
        <w:spacing w:after="0" w:line="211"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Influencer and Partner Leverage</w:t>
      </w:r>
      <w:r>
        <w:rPr>
          <w:rFonts w:ascii="Times New Roman" w:cs="Times New Roman" w:eastAsia="Times New Roman" w:hAnsi="Times New Roman"/>
          <w:sz w:val="18"/>
          <w:szCs w:val="18"/>
          <w:color w:val="auto"/>
        </w:rPr>
        <w:t>: His connections with RX3 Growth Partners and experience leveraging influencer bases will help Prenetics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maximize value through strategic partnerships and marketing initiatives, enhancing brand visibility and consumer engagement.</w:t>
      </w:r>
    </w:p>
    <w:p>
      <w:pPr>
        <w:spacing w:after="0" w:line="185"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By integrating Mr. Vanderveen’s expertise, Prenetics will be well-positioned to achieve its strategic goals, driving innovation, operational efficiency, and global growth in the consumer health sector.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FURTHER NOTE ON THE REGISTRATION STATEMENT ON FORM S-8 (FILE NO. 333-279019)</w:t>
      </w:r>
    </w:p>
    <w:p>
      <w:pPr>
        <w:spacing w:after="0" w:line="216"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 the explanatory note to our registration statement on Form S-8 (File No. 333-279019) filed with the Commission on May 1, 2024, we disclosed that we previously registered 5,557,230 Class A ordinary shares, par value $0.0001 per share (equivalent to 370,482 Class A ordinary shares, par value $0.0015 per</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share after our reverse stock split on November 14, 2024) that are or may become issuable under the Plan pursuant to our Registration Statement on Form S-8 (File No. 333-271552) filed with the Commission on May 1, 2023 ("2023 Registration Statement"). We hereby clarify that together with the Class A ordinary shares registered pursuant to our Registration Statement on Form S-8 (File No. 333-267956) filed with the Commission on October 20, 2023, the</w:t>
      </w:r>
    </w:p>
    <w:p>
      <w:pPr>
        <w:spacing w:after="0" w:line="2" w:lineRule="exact"/>
        <w:rPr>
          <w:sz w:val="20"/>
          <w:szCs w:val="20"/>
          <w:color w:val="auto"/>
        </w:rPr>
      </w:pPr>
    </w:p>
    <w:p>
      <w:pPr>
        <w:ind w:right="680"/>
        <w:spacing w:after="0" w:line="226" w:lineRule="auto"/>
        <w:rPr>
          <w:sz w:val="20"/>
          <w:szCs w:val="20"/>
          <w:color w:val="auto"/>
        </w:rPr>
      </w:pPr>
      <w:r>
        <w:rPr>
          <w:rFonts w:ascii="Times New Roman" w:cs="Times New Roman" w:eastAsia="Times New Roman" w:hAnsi="Times New Roman"/>
          <w:sz w:val="18"/>
          <w:szCs w:val="18"/>
          <w:color w:val="auto"/>
        </w:rPr>
        <w:t>total number of Class A ordinary shares, previously registered was 25,332,509 Class A ordinary shares, par value $0.0001 per share (equivalent to 1,688,834 Class A ordinary shares, par value $0.0015 per share after our reverse stock split on November 14, 2024).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 Press Release</w:t>
      </w:r>
    </w:p>
    <w:p>
      <w:pPr>
        <w:sectPr>
          <w:pgSz w:w="11900" w:h="16838" w:orient="portrait"/>
          <w:cols w:equalWidth="0" w:num="1">
            <w:col w:w="11220"/>
          </w:cols>
          <w:pgMar w:left="320" w:top="144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9377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776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Announces First Quarter 2024 Financial Results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Revenue Increased 30.2% and Gross Profit Increased 159.8% from Prior Year Quarter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Confirms Strategic Pivot Targeting the U.S. Consumer Healthcare Market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Reaffirms 2024 Revenue Range of US$33 million to US$36 million</w:t>
      </w:r>
    </w:p>
    <w:p>
      <w:pPr>
        <w:spacing w:after="0" w:line="3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LOS ANGELES, June 18, 2024 – </w:t>
      </w:r>
      <w:r>
        <w:rPr>
          <w:rFonts w:ascii="Times New Roman" w:cs="Times New Roman" w:eastAsia="Times New Roman" w:hAnsi="Times New Roman"/>
          <w:sz w:val="18"/>
          <w:szCs w:val="18"/>
          <w:color w:val="auto"/>
        </w:rPr>
        <w:t>Prenetics Global Limited (NASDAQ: PRE) (“Prenetics” or the “Company”), a leading health sciences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unaudited financial results for the first quarter ended March 31, 2024, along with recent business updates.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US$6.4 million in the first quarter 2024, an increase of 30.2% as compared to the first quarter 2023.</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US$3.8 million in the first quarter 2024, an increase of 159.8% as compared to the first quarter 2023.</w:t>
      </w: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of US$(4.1) million in the first quarter 2024, an improvement of 55.9% as compared to the first quarter 2023.</w:t>
      </w:r>
    </w:p>
    <w:p>
      <w:pPr>
        <w:spacing w:after="0" w:line="1" w:lineRule="exact"/>
        <w:rPr>
          <w:rFonts w:ascii="Times New Roman" w:cs="Times New Roman" w:eastAsia="Times New Roman" w:hAnsi="Times New Roman"/>
          <w:sz w:val="18"/>
          <w:szCs w:val="18"/>
          <w:color w:val="auto"/>
        </w:rPr>
      </w:pPr>
    </w:p>
    <w:p>
      <w:pPr>
        <w:ind w:left="660" w:hanging="328"/>
        <w:spacing w:after="0" w:line="21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other short-term assets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US$86.6 million as of March 31, 2024. Additionally, Insighta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our 50/50 joint venture in early cancer detection with Professor Dennis Lo, had a cash balance of US$79.8 million in its balance sheet as of March 31, 2024.</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Danny Yeung, Chief Executive Officer and Co-Founder of Prenetics </w:t>
      </w:r>
      <w:r>
        <w:rPr>
          <w:rFonts w:ascii="Times New Roman" w:cs="Times New Roman" w:eastAsia="Times New Roman" w:hAnsi="Times New Roman"/>
          <w:sz w:val="18"/>
          <w:szCs w:val="18"/>
          <w:color w:val="auto"/>
        </w:rPr>
        <w:t>remarked: “The first quarter of 2024 marked a good start for our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showcasing solid growth in revenue and gross profit. These results demonstrate firm governance of our financial position with no debt supported by a resilient and talented team.</w:t>
      </w:r>
    </w:p>
    <w:p>
      <w:pPr>
        <w:spacing w:after="0" w:line="20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As we enter the second half of 2024, we are making significant strides in our strategic realignment with a keen focus on the consumer healthcare market in the USA. Our purpose remains dedicated to our science first approach in our pivot to consumer healthcare to broaden accessibility to science based health and wellness. To support this growth, we have established dual headquarters with a presence in the US which will position us to seize new opportunities both domestically and globally. We look forward to sharing more details on the new direction of Prenetics in the near future," concluded Mr. Yeung.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Updates</w:t>
      </w:r>
    </w:p>
    <w:p>
      <w:pPr>
        <w:spacing w:after="0" w:line="31" w:lineRule="exact"/>
        <w:rPr>
          <w:sz w:val="20"/>
          <w:szCs w:val="20"/>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improvement on financial performance, achieving 30.2% increase in revenue from continuing operations, a 55.9% reduction in adjusted EBITDA loss, and ended the quarter with strong financial position of cash and short-term assets position of US$86.6 million as of March 31, 2024.</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strategic realignment with an accelerated focus on the consumer healthcare sector, presenting vast global opportunities, beginning with the USA.</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Insighta, the Company’s early cancer detection venture continues to show significant progress as initial pre-clinical data on Prostate cancer shows very promising results.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Insighta has received all approvals necessary to move forward with a 1,500 person clinical trial with patient recruitment to begin in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firstLine="8"/>
        <w:spacing w:after="0" w:line="215" w:lineRule="auto"/>
        <w:tabs>
          <w:tab w:leader="none" w:pos="84"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current assets, including cash and cash equivalents and short-term deposits totaling US$54.5 million, financial assets at fair value through profit or loss of US$11.0 million, and trade receivables of US$4.1 million, amongst other accounting line items under current assets.</w:t>
      </w:r>
    </w:p>
    <w:p>
      <w:pPr>
        <w:ind w:right="20"/>
        <w:spacing w:after="0" w:line="20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As of March 31, 2024, we owned 50% shareholding in Insighta, which was accounted for under equity-accounted investee. Equity-accounted investees, totaling US$98.2 million as of March 31, 2024, were classified as non-current assets on our balance sheet.</w:t>
      </w:r>
    </w:p>
    <w:p>
      <w:pPr>
        <w:sectPr>
          <w:pgSz w:w="11900" w:h="16838" w:orient="portrait"/>
          <w:cols w:equalWidth="0" w:num="1">
            <w:col w:w="11240"/>
          </w:cols>
          <w:pgMar w:left="320" w:top="13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Prenetics (NASDAQ:PRE), a leading genomics-driven health sciences company, is revolutionizing prevention, early detection, and treatment. Our prevention arm, CircleDNA, uses whole exome sequencing to offer the world's most comprehensive consumer DNA test. Insighta, our $200 million joint venture with renowned scientist Prof. Dennis Lo, underscores our unwavering commitment to saving lives through pioneering multi-cancer early detection technologies. Lastly, ACT Genomics, our treatment unit, is the first Asia-based company to achieve FDA clearance for comprehensive genomic profiling of solid tumors via ACTOnco. Each of Prenetics' units synergistically enhances our global impact on health, truly embodying our commitment to 'enhancing life through science’. To learn more about Prenetics, please visit </w:t>
      </w:r>
      <w:r>
        <w:rPr>
          <w:rFonts w:ascii="Times New Roman" w:cs="Times New Roman" w:eastAsia="Times New Roman" w:hAnsi="Times New Roman"/>
          <w:sz w:val="18"/>
          <w:szCs w:val="18"/>
          <w:color w:val="0000FF"/>
        </w:rPr>
        <w:t>www.prenetics.com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investors@prenetics.com</w:t>
      </w:r>
    </w:p>
    <w:p>
      <w:pPr>
        <w:spacing w:after="0"/>
        <w:rPr>
          <w:sz w:val="20"/>
          <w:szCs w:val="20"/>
          <w:color w:val="auto"/>
        </w:rPr>
      </w:pPr>
      <w:r>
        <w:rPr>
          <w:rFonts w:ascii="Times New Roman" w:cs="Times New Roman" w:eastAsia="Times New Roman" w:hAnsi="Times New Roman"/>
          <w:sz w:val="18"/>
          <w:szCs w:val="18"/>
          <w:color w:val="0000FF"/>
        </w:rPr>
        <w:t>PRE@mzgroup.us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Unaudited Non-IFRS Financial Measures has been provided in the financial statements tables included at the end of this press release. An explanation of these measures is also included below under the heading “Unaudited Non-IFRS Financial Measures”.</w:t>
      </w:r>
    </w:p>
    <w:p>
      <w:pPr>
        <w:sectPr>
          <w:pgSz w:w="11900" w:h="16838" w:orient="portrait"/>
          <w:cols w:equalWidth="0" w:num="1">
            <w:col w:w="11240"/>
          </w:cols>
          <w:pgMar w:left="320" w:top="14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measures, adjusted EBITDA from continuing operations, adjusted gross profit from continuing operations and adjusted loss attributable to equity shareholders of Prenetics.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Management is excluding from some or all of its non-IFRS results (1) Employee equity-settled share-based payment expenses, (2) depreciation and amortization, (3) finance income and exchange gain or loss, net, and (4) certain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from continuing operations (Non-IFRS)”, “Reconciliation of gross profit from continuing operations under IFRS and adjusted gross profit from continuing operations (Non-IFRS)” and “Reconciliation of loss attributable to equity shareholders of Prenetics under IFRS and adjusted loss attributable to equity shareholders of Prenetics (Non-IFRS)” set forth at the end of this document.</w:t>
      </w:r>
    </w:p>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6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4,585,957</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5,777,794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13,169,672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13,424,648</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98,244,733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98,464,875</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Deferred expenses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1,483,348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3,530,756</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948,811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743,173</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157,001,338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160,510,113</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expenses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8,272,025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8,312,890</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2,815,607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3,126,776</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receivables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4,106,052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4,058,007</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5,708,610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5,284,848</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Amount due from an equity-accounted investee</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11,034,200</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5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54,518,588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45,706,448</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86,583,815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93,660,406</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243,585,153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2,327,331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2,614,823</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223,850</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867,215</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464,215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823,345</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3,604,183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4,529,233</w:t>
            </w: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1,637,568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1,671,019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7,100,324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8,174,815</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5,542,678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6,111,017</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1,502,173</w:t>
            </w:r>
          </w:p>
        </w:tc>
        <w:tc>
          <w:tcPr>
            <w:tcW w:w="0" w:type="dxa"/>
            <w:vAlign w:val="bottom"/>
          </w:tcPr>
          <w:p>
            <w:pPr>
              <w:spacing w:after="0"/>
              <w:rPr>
                <w:sz w:val="1"/>
                <w:szCs w:val="1"/>
                <w:color w:val="auto"/>
              </w:rPr>
            </w:pPr>
          </w:p>
        </w:tc>
      </w:tr>
      <w:tr>
        <w:trPr>
          <w:trHeight w:val="216"/>
        </w:trPr>
        <w:tc>
          <w:tcPr>
            <w:tcW w:w="6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Liabilities for puttable financial instrument</w:t>
            </w:r>
            <w:r>
              <w:rPr>
                <w:rFonts w:ascii="Times New Roman" w:cs="Times New Roman" w:eastAsia="Times New Roman" w:hAnsi="Times New Roman"/>
                <w:sz w:val="21"/>
                <w:szCs w:val="21"/>
                <w:b w:val="1"/>
                <w:bCs w:val="1"/>
                <w:color w:val="auto"/>
                <w:vertAlign w:val="superscript"/>
              </w:rPr>
              <w:t>3</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14,472,666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14,622,529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7,385,897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7,402,461</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37,218,582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39,484,014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40,822,765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44,013,247</w:t>
            </w:r>
          </w:p>
        </w:tc>
        <w:tc>
          <w:tcPr>
            <w:tcW w:w="0" w:type="dxa"/>
            <w:vAlign w:val="bottom"/>
          </w:tcPr>
          <w:p>
            <w:pPr>
              <w:spacing w:after="0"/>
              <w:rPr>
                <w:sz w:val="1"/>
                <w:szCs w:val="1"/>
                <w:color w:val="auto"/>
              </w:rPr>
            </w:pPr>
          </w:p>
        </w:tc>
      </w:tr>
      <w:tr>
        <w:trPr>
          <w:trHeight w:val="194"/>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6"/>
                <w:szCs w:val="16"/>
                <w:color w:val="auto"/>
              </w:rPr>
              <w:t>Share capital</w:t>
            </w:r>
            <w:r>
              <w:rPr>
                <w:rFonts w:ascii="Times New Roman" w:cs="Times New Roman" w:eastAsia="Times New Roman" w:hAnsi="Times New Roman"/>
                <w:sz w:val="21"/>
                <w:szCs w:val="21"/>
                <w:b w:val="1"/>
                <w:bCs w:val="1"/>
                <w:color w:val="auto"/>
                <w:vertAlign w:val="superscript"/>
              </w:rPr>
              <w:t>4</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Reserves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199,425,243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206,339,490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199,443,569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206,357,798</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3,318,819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3,799,474</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202,762,388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210,157,272</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243,585,153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1400" w:right="9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w:t>
      </w: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6,413,397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5,428,460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4,924,035</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(2,630,751)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(2,758,288)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(3,467,939)</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1,456,096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747,891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715,562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1,077,091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5</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(1,908,415)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(2,501,274)</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5</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(2,586,477)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(3,233,538)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(3,900,268)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5</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(9,059,929)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(10,362,374)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(11,689,809)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(9,158,915)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(15,371,800)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(14,891,434)</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5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(3,190,379)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gain on warrant liabilities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671,550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1,260,276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(688,183)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finance (costs)/income</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(43,844)</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taxation</w:t>
            </w:r>
          </w:p>
        </w:tc>
        <w:tc>
          <w:tcPr>
            <w:tcW w:w="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(9,310,913)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(18,577,739)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(13,787,753)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credit/(expense)</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(9,024,975)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(18,588,417)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(13,707,098)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(Loss)/profit from discontinued operation, net of tax</w:t>
            </w:r>
            <w:r>
              <w:rPr>
                <w:rFonts w:ascii="Times New Roman" w:cs="Times New Roman" w:eastAsia="Times New Roman" w:hAnsi="Times New Roman"/>
                <w:sz w:val="21"/>
                <w:szCs w:val="21"/>
                <w:b w:val="1"/>
                <w:bCs w:val="1"/>
                <w:color w:val="auto"/>
                <w:vertAlign w:val="superscript"/>
              </w:rPr>
              <w:t>6</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(1,026,983)</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2,733,358</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(9,051,590)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(19,615,400)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(10,973,740)</w:t>
            </w:r>
          </w:p>
        </w:tc>
        <w:tc>
          <w:tcPr>
            <w:tcW w:w="0" w:type="dxa"/>
            <w:vAlign w:val="bottom"/>
          </w:tcPr>
          <w:p>
            <w:pPr>
              <w:spacing w:after="0"/>
              <w:rPr>
                <w:sz w:val="1"/>
                <w:szCs w:val="1"/>
                <w:color w:val="auto"/>
              </w:rPr>
            </w:pPr>
          </w:p>
        </w:tc>
      </w:tr>
      <w:tr>
        <w:trPr>
          <w:trHeight w:val="21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(430,444)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1,118,149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(636,502)</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5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(9,482,034)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(18,497,251)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(11,610,242)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(8,568,095)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(19,047,124)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(10,398,430)</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(483,495)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(568,276)</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(575,310)</w:t>
            </w: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(9,051,590)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(19,615,400)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(10,973,740)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(9,001,379)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(18,677,610)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(10,495,918)</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(480,655)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180,359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(1,114,324)</w:t>
            </w: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(9,482,034)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(18,497,251)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(11,610,242)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12,215,904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12,114,922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10,522,621</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12,215,904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12,114,922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10,522,621</w:t>
            </w:r>
          </w:p>
        </w:tc>
        <w:tc>
          <w:tcPr>
            <w:tcW w:w="0" w:type="dxa"/>
            <w:vAlign w:val="bottom"/>
          </w:tcPr>
          <w:p>
            <w:pPr>
              <w:spacing w:after="0"/>
              <w:rPr>
                <w:sz w:val="1"/>
                <w:szCs w:val="1"/>
                <w:color w:val="auto"/>
              </w:rPr>
            </w:pPr>
          </w:p>
        </w:tc>
      </w:tr>
    </w:tbl>
    <w:p>
      <w:pPr>
        <w:sectPr>
          <w:pgSz w:w="11900" w:h="16838" w:orient="portrait"/>
          <w:cols w:equalWidth="0" w:num="1">
            <w:col w:w="11040"/>
          </w:cols>
          <w:pgMar w:left="320" w:top="1400"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from operations from continuing operations under IFRS and adjusted EBITDA from continuing operations (Non-IFRS)</w:t>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5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(9,158,915)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(15,371,800)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(14,891,434)</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2,055,858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2,940,984</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1,719,555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1,564,816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1,796,990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strategic financing, transactional expense and non-recurring expenses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2,096,563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6,263,188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1,847,131</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 exchange gain or loss, net</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(700,589)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(673,740)</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(1,000,131)</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from continuing operations (Non-IFRS)</w:t>
            </w: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(4,106,118)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(6,161,678)</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(9,306,460)</w:t>
            </w:r>
          </w:p>
        </w:tc>
      </w:tr>
      <w:tr>
        <w:trPr>
          <w:trHeight w:val="20"/>
        </w:trPr>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gross profit from continuing operations under IFRS and adjusted gross profit from continuing operations (Non-IFRS)</w:t>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5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from continuing operations under IFRS</w:t>
            </w: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2,670,172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1,456,096</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279,561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309,812</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384,326</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from continuing operations (Non-IFRS)</w:t>
            </w:r>
          </w:p>
        </w:tc>
        <w:tc>
          <w:tcPr>
            <w:tcW w:w="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4,062,788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2,991,506</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1,840,422</w:t>
            </w:r>
          </w:p>
        </w:tc>
      </w:tr>
      <w:tr>
        <w:trPr>
          <w:trHeight w:val="20"/>
        </w:trPr>
        <w:tc>
          <w:tcPr>
            <w:tcW w:w="5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Reconciliation of loss attributable to equity shareholders of Prenetics under IFRS and adjusted loss attributable to equity shareholders of Prenetics (Non-IFRS)</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5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attributable to equity shareholders of Prenetics under IFRS</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(8,568,095)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(19,047,124)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(10,398,430)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2,055,858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3,124,189</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strategic financing, transactional expense and non-recurring expenses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2,096,563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8,248,151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3,161,638</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gain on warrant liabilities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(671,550)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(1,260,276)</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3,190,379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loss attributable to equity shareholders of Prenetics (Non-IFRS)</w:t>
            </w:r>
          </w:p>
        </w:tc>
        <w:tc>
          <w:tcPr>
            <w:tcW w:w="5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(4,614,850)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(6,224,286)</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(5,372,879)</w:t>
            </w:r>
          </w:p>
        </w:tc>
      </w:tr>
      <w:tr>
        <w:trPr>
          <w:trHeight w:val="20"/>
        </w:trPr>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40"/>
          </w:cols>
          <w:pgMar w:left="320" w:top="1400" w:right="5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w:t>
      </w:r>
    </w:p>
    <w:p>
      <w:pPr>
        <w:jc w:val="both"/>
        <w:ind w:firstLine="8"/>
        <w:spacing w:after="0" w:line="230" w:lineRule="auto"/>
        <w:tabs>
          <w:tab w:leader="none" w:pos="92" w:val="left"/>
        </w:tabs>
        <w:numPr>
          <w:ilvl w:val="0"/>
          <w:numId w:val="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In connection with the acquisition of ACT Genomics, the remaining shareholders of ACT Genomics - representing 25.61% of the fully diluted shareholding of ACT Genomics that Prenetics does not own - were granted put options which allow these remaining shareholders to put their remaining shares to Prenetics under certain conditions. The liabilities arising from such put option are recorded as </w:t>
      </w:r>
      <w:r>
        <w:rPr>
          <w:rFonts w:ascii="Times New Roman" w:cs="Times New Roman" w:eastAsia="Times New Roman" w:hAnsi="Times New Roman"/>
          <w:sz w:val="16"/>
          <w:szCs w:val="16"/>
          <w:i w:val="1"/>
          <w:iCs w:val="1"/>
          <w:color w:val="auto"/>
        </w:rPr>
        <w:t>liabilities for puttable financial instrument</w:t>
      </w:r>
      <w:r>
        <w:rPr>
          <w:rFonts w:ascii="Times New Roman" w:cs="Times New Roman" w:eastAsia="Times New Roman" w:hAnsi="Times New Roman"/>
          <w:sz w:val="16"/>
          <w:szCs w:val="16"/>
          <w:color w:val="auto"/>
        </w:rPr>
        <w:t>, and are valued at the present value of the exercise price of the put option.</w:t>
      </w:r>
    </w:p>
    <w:p>
      <w:pPr>
        <w:spacing w:after="0" w:line="179"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Represents number of authorized and issued shares as follows:</w:t>
      </w:r>
    </w:p>
    <w:p>
      <w:pPr>
        <w:spacing w:after="0" w:line="51" w:lineRule="exact"/>
        <w:rPr>
          <w:sz w:val="20"/>
          <w:szCs w:val="20"/>
          <w:color w:val="auto"/>
        </w:rPr>
      </w:pPr>
    </w:p>
    <w:tbl>
      <w:tblPr>
        <w:tblLayout w:type="fixed"/>
        <w:tblInd w:w="116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52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authorized shares of $0.0015 each</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33,333,333</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33,333,333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issued shares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12,217,226</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12,205,200</w:t>
            </w:r>
          </w:p>
        </w:tc>
      </w:tr>
      <w:tr>
        <w:trPr>
          <w:trHeight w:val="21"/>
        </w:trPr>
        <w:tc>
          <w:tcPr>
            <w:tcW w:w="5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80" w:hanging="72"/>
        <w:spacing w:after="0"/>
        <w:tabs>
          <w:tab w:leader="none" w:pos="80" w:val="left"/>
        </w:tabs>
        <w:numPr>
          <w:ilvl w:val="0"/>
          <w:numId w:val="8"/>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37"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5"/>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5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486,507</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1,155,752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1,339,419</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2,391,044</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equity-settled share-based payment expenses</w:t>
            </w: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1,915,780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2,026,237</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2,922,806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8"/>
        <w:spacing w:after="0" w:line="227" w:lineRule="auto"/>
        <w:tabs>
          <w:tab w:leader="none" w:pos="113" w:val="left"/>
        </w:tabs>
        <w:numPr>
          <w:ilvl w:val="0"/>
          <w:numId w:val="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We ceased our COVID-19 testing business entirely in 2023 Q2, and other DNA testing operations in the EMEA regions in 2023 Q4. As a result, COVID-19 testing business and the operations in the EMEA regions are reported as a discontinued operation under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In accordance with IFRS 5, the results of the discontinued operation have been presented separately from the continuing operations in the consolidated statements of profit or loss and other comprehensive income. The comparative information in the consolidated statements of profit or loss and other comprehensive income has also been re-presented to show the results of discontinued operation separately.</w:t>
      </w:r>
    </w:p>
    <w:sectPr>
      <w:pgSz w:w="11900" w:h="16838" w:orient="portrait"/>
      <w:cols w:equalWidth="0" w:num="1">
        <w:col w:w="11240"/>
      </w:cols>
      <w:pgMar w:left="320" w:top="14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5"/>
      <w:numFmt w:val="bullet"/>
      <w:start w:val="1"/>
    </w:lvl>
  </w:abstractNum>
  <w:abstractNum w:abstractNumId="8">
    <w:nsid w:val="5BD062C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2024-06-18T07:37:49Z</dcterms:created>
  <dcterms:modified xsi:type="dcterms:W3CDTF">2024-06-18T07:37:49Z</dcterms:modified>
</cp:coreProperties>
</file>