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Unit 701-706, K11 Atelier King’s Road</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728 King’s Road, Quarry Bay</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w:t>
      </w:r>
      <w:r>
        <w:rPr>
          <w:rFonts w:ascii="Times New Roman" w:cs="Times New Roman" w:eastAsia="Times New Roman" w:hAnsi="Times New Roman"/>
          <w:sz w:val="18"/>
          <w:szCs w:val="18"/>
          <w:u w:val="single" w:color="auto"/>
          <w:color w:val="0000EE"/>
        </w:rPr>
        <w:t>Press Release</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Stephen Lo</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Stephen Lo</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2023</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137160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Prenetics Announces Fourth Quarter and Full Year 2022 Financial Results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Business Strategy Focused on Precision Oncology</w:t>
      </w:r>
    </w:p>
    <w:p>
      <w:pPr>
        <w:spacing w:after="0" w:line="11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AND HONG KONG, March 14, 2023 </w:t>
      </w:r>
      <w:r>
        <w:rPr>
          <w:rFonts w:ascii="Times New Roman" w:cs="Times New Roman" w:eastAsia="Times New Roman" w:hAnsi="Times New Roman"/>
          <w:sz w:val="18"/>
          <w:szCs w:val="18"/>
          <w:color w:val="auto"/>
        </w:rPr>
        <w:t>– Prenetics Global Limited (NASDAQ: PRE) (“Prenetics” or the “Company”), a leading genomics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precision oncology company, today announced financial results for the fourth quarter and full year ended December 31, 2022.</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Revenue of US$275.8 million in the full year 2022</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Revenue of US$52.3 million in the fourth quarter 2022</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Adjusted EBITDA of US$58.3 million in the full year 2022</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Adjusted EBITDA of US$12.1 million in the fourth quarter 2022</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Cash and other short–term assets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of US$242.1 million as of December 31, 2022</w:t>
      </w:r>
    </w:p>
    <w:p>
      <w:pPr>
        <w:spacing w:after="0" w:line="2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Embarked on a new business strategy focused on precision oncology, as the Company exits the COVID-19 testing business.</w:t>
      </w:r>
    </w:p>
    <w:p>
      <w:pPr>
        <w:spacing w:after="0" w:line="130" w:lineRule="exact"/>
        <w:rPr>
          <w:sz w:val="20"/>
          <w:szCs w:val="20"/>
          <w:color w:val="auto"/>
        </w:rPr>
      </w:pPr>
    </w:p>
    <w:p>
      <w:pPr>
        <w:ind w:left="544" w:right="340" w:hanging="540"/>
        <w:spacing w:after="0" w:line="282" w:lineRule="auto"/>
        <w:rPr>
          <w:sz w:val="20"/>
          <w:szCs w:val="20"/>
          <w:color w:val="auto"/>
        </w:rPr>
      </w:pPr>
      <w:r>
        <w:rPr>
          <w:rFonts w:ascii="Times New Roman" w:cs="Times New Roman" w:eastAsia="Times New Roman" w:hAnsi="Times New Roman"/>
          <w:sz w:val="18"/>
          <w:szCs w:val="18"/>
          <w:color w:val="auto"/>
        </w:rPr>
        <w:t>–Acquired ACT Genomics, the first Asian company to receive FDA clearance for its comprehensive genomic profiling test for solid tumors, a significant milestone for Prenetics in executing its new focus in precision oncology.</w:t>
      </w:r>
    </w:p>
    <w:p>
      <w:pPr>
        <w:spacing w:after="0" w:line="67" w:lineRule="exact"/>
        <w:rPr>
          <w:sz w:val="20"/>
          <w:szCs w:val="20"/>
          <w:color w:val="auto"/>
        </w:rPr>
      </w:pPr>
    </w:p>
    <w:p>
      <w:pPr>
        <w:ind w:left="544" w:right="540" w:hanging="540"/>
        <w:spacing w:after="0" w:line="282" w:lineRule="auto"/>
        <w:rPr>
          <w:sz w:val="20"/>
          <w:szCs w:val="20"/>
          <w:color w:val="auto"/>
        </w:rPr>
      </w:pPr>
      <w:r>
        <w:rPr>
          <w:rFonts w:ascii="Times New Roman" w:cs="Times New Roman" w:eastAsia="Times New Roman" w:hAnsi="Times New Roman"/>
          <w:sz w:val="18"/>
          <w:szCs w:val="18"/>
          <w:color w:val="auto"/>
        </w:rPr>
        <w:t>–Formed a new Scientific Advisory Board with a diverse group of highly respected experts in precision oncology and genomics, to provide strategic input and guide the further development of Prenetics’ cancer genomics diagnostic platform.</w:t>
      </w:r>
    </w:p>
    <w:p>
      <w:pPr>
        <w:spacing w:after="0" w:line="67" w:lineRule="exact"/>
        <w:rPr>
          <w:sz w:val="20"/>
          <w:szCs w:val="20"/>
          <w:color w:val="auto"/>
        </w:rPr>
      </w:pPr>
    </w:p>
    <w:p>
      <w:pPr>
        <w:ind w:left="544" w:right="740" w:hanging="540"/>
        <w:spacing w:after="0" w:line="282" w:lineRule="auto"/>
        <w:rPr>
          <w:sz w:val="20"/>
          <w:szCs w:val="20"/>
          <w:color w:val="auto"/>
        </w:rPr>
      </w:pPr>
      <w:r>
        <w:rPr>
          <w:rFonts w:ascii="Times New Roman" w:cs="Times New Roman" w:eastAsia="Times New Roman" w:hAnsi="Times New Roman"/>
          <w:sz w:val="18"/>
          <w:szCs w:val="18"/>
          <w:color w:val="auto"/>
        </w:rPr>
        <w:t>–Reposition CircleDNA into a global consumer health business, leveraging on its 300,000+ global affluent customers and over 1 million subscribers as an entry way into the precision oncology.</w:t>
      </w:r>
    </w:p>
    <w:p>
      <w:pPr>
        <w:spacing w:after="0" w:line="158"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Danny Yeung, Chief Executive Officer and Co-founder of Prenetics, </w:t>
      </w:r>
      <w:r>
        <w:rPr>
          <w:rFonts w:ascii="Times New Roman" w:cs="Times New Roman" w:eastAsia="Times New Roman" w:hAnsi="Times New Roman"/>
          <w:sz w:val="18"/>
          <w:szCs w:val="18"/>
          <w:color w:val="auto"/>
        </w:rPr>
        <w:t>said “Looking back over the last twelve months, we are pleased with our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transformative progress. When the pandemic started three years ago, we made a strategic decision to pivot from our core genomics business to play a leading role in fighting COVID-19 in the United Kingdom and Hong Kong. We are extremely proud to have safe-guarded those communities with more than 28 million COVID-19 tests processed. It was truly a monumental team effort and something that I’m sure my team and I will remember for the rest of our lives. With the pandemic behind us, our team has rehomed our focus back to our foundational genomics business. This has already been evidenced with the formation of our distinguished Scientific Advisory Board, our acquisition of ACT Genomics, enabling us to offer an FDA-cleared cancer genomics profiling test. Furthermore, I am immensely optimistic with our new business strategy in precision oncology. With our strong balance sheet, we intend to make significant investments to develop our oncology product pipeline, especially in early detection for cancer. Given our progress, we believe our current market cap (currently below cash and cash equivalent) is not reflective of our true value and will now look to execute upon our previously announced US$20 million share buy-back program in which we believe our shareholders will benefit from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jc w:val="both"/>
        <w:ind w:left="424" w:right="340" w:hanging="424"/>
        <w:spacing w:after="0" w:line="218"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Represents current assets, including cash and cash equivalents and short–term deposits totaling US$166.6 million, financial assets at fair value through profit or loss of US$17.5 million, and trade receivables of US$41.7 million, amongst other accounting line items under current assets.</w:t>
      </w:r>
    </w:p>
    <w:p>
      <w:pPr>
        <w:sectPr>
          <w:pgSz w:w="11900" w:h="16838" w:orient="portrait"/>
          <w:cols w:equalWidth="0" w:num="1">
            <w:col w:w="11024"/>
          </w:cols>
          <w:pgMar w:left="436" w:top="117" w:right="439" w:bottom="1440" w:gutter="0" w:footer="0" w:header="0"/>
        </w:sectPr>
      </w:pPr>
    </w:p>
    <w:bookmarkStart w:id="4" w:name="page5"/>
    <w:bookmarkEnd w:id="4"/>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Danny continued: “We are also proactively restructuring our operations with a focus on streamlining resources and reducing cost, including executing a global workforce reduction of approximately 60% since December 2022, resulting in annual headcount reduction costs of approximately US$10 million. These are important moments to sharpen our focus, control our costs, and deploy our resources and capital to our highest priorities. While implementing such changes are challenging, we are confident this restructuring will allow us to effectively and efficiently achieve our new objective of delivering innovative solutions in precision oncology.”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 Business Strategy on Precision Oncology</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Prenetics is focusing its business strategy to genomics and precision oncology, and is dedicated to transforming patients’ care through advanced genomic and molecular technologies. The acquisition of ACT Genomics marked Prenetics’ first milestone in positioning itself in the global precision oncology market. ACT’s flagship product ACTOnco+ is currently the first and only Asia-based product to receive FDA clearance for a comprehensive genomic profiling test for solid tumors.</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Recently, the Company also appointed Prof. Tony S. K. Mok, Chairman of the Department of Clinical Oncology of the Chinese University of Hong Kong, non-executive director of AstraZeneca PLC., independent director of HUTCHMED (China) Limited and a world-renowned expert in the application of precision medicine for advanced lung cancer, as Chairperson of its Scientific Advisory Board. Prof. Mok will lead the Scientific Advisory Board in advancing Prenetics’ mission to acquire, develop, and commercialize innovative solutions in the field of precision oncology, and overcome cancer through early detection and precision medicine.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COVID-19 Update and Rebalancing of Resources</w:t>
      </w:r>
    </w:p>
    <w:p>
      <w:pPr>
        <w:spacing w:after="0" w:line="121"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Prenetics has been at the forefront of the fight against COVID-19 by providing highly accurate and rapid testing at scale and dedicating significant resources to the social responsibility of protecting our community. With the pandemic and COVID-19 testing now behind us, the company has been developing a new strategic focus on genomics and precision oncology. In view of the Company’s new strategic focus, it is undergoing a rebalancing of resources to improve efficiency, reduce costs in less strategic areas, and deploy resources and capital to areas of high priority. Prenetics believes that these initiatives are important to enable it to achieve its largest growth opportunities in genomics and precision oncology. Prenetics remains committed to investing in strategic areas of its business, aligning talent to delivering innovative solutions in genomics and precision oncology, especially in early detection of cancer.</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Fourth Quarter 2022 Financial Highlights</w:t>
      </w:r>
    </w:p>
    <w:p>
      <w:pPr>
        <w:spacing w:after="0" w:line="131" w:lineRule="exact"/>
        <w:rPr>
          <w:sz w:val="20"/>
          <w:szCs w:val="20"/>
          <w:color w:val="auto"/>
        </w:rPr>
      </w:pPr>
    </w:p>
    <w:p>
      <w:pPr>
        <w:ind w:left="544" w:right="200" w:hanging="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US$52.3 million for the fourth quarter 2022 compared to US$64.7 million for the fourth quarter 2021, a decrease of 19.2% year-over-year.</w:t>
      </w:r>
    </w:p>
    <w:p>
      <w:pPr>
        <w:spacing w:after="0" w:line="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 xml:space="preserve">Gross margin </w:t>
      </w:r>
      <w:r>
        <w:rPr>
          <w:rFonts w:ascii="Times New Roman" w:cs="Times New Roman" w:eastAsia="Times New Roman" w:hAnsi="Times New Roman"/>
          <w:sz w:val="17"/>
          <w:szCs w:val="17"/>
          <w:color w:val="auto"/>
        </w:rPr>
        <w:t>was 51.6% for the fourth quarter 2022 compared to 36.7% for the fourth quarter 2021.</w:t>
      </w:r>
    </w:p>
    <w:p>
      <w:pPr>
        <w:spacing w:after="0" w:line="130" w:lineRule="exact"/>
        <w:rPr>
          <w:sz w:val="20"/>
          <w:szCs w:val="20"/>
          <w:color w:val="auto"/>
        </w:rPr>
      </w:pPr>
    </w:p>
    <w:p>
      <w:pPr>
        <w:ind w:left="544" w:right="420" w:hanging="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Profit from operations </w:t>
      </w:r>
      <w:r>
        <w:rPr>
          <w:rFonts w:ascii="Times New Roman" w:cs="Times New Roman" w:eastAsia="Times New Roman" w:hAnsi="Times New Roman"/>
          <w:sz w:val="18"/>
          <w:szCs w:val="18"/>
          <w:color w:val="auto"/>
        </w:rPr>
        <w:t>was US$4.6 million for the fourth quarter 2022 compared to loss from operations of US$30.8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2021.</w:t>
      </w:r>
    </w:p>
    <w:p>
      <w:pPr>
        <w:spacing w:after="0" w:line="60" w:lineRule="exact"/>
        <w:rPr>
          <w:sz w:val="20"/>
          <w:szCs w:val="20"/>
          <w:color w:val="auto"/>
        </w:rPr>
      </w:pPr>
    </w:p>
    <w:p>
      <w:pPr>
        <w:ind w:left="544" w:right="20" w:hanging="540"/>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profit attributable to equity shareholders of Prenetics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US$9.7 million for the fourth quarter 2022 compared to adjusted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US$10.3 million for the fourth quarter 2021.</w:t>
      </w:r>
    </w:p>
    <w:p>
      <w:pPr>
        <w:spacing w:after="0" w:line="1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US$12.1 million for the fourth quarter 2022 compared to US$(5.9) million for the fourth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20" w:hanging="424"/>
        <w:spacing w:after="0" w:line="220"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profit (non-IFRS) represents profit/(loss) attributable to equity shareholders of the Company under IFRS before employee equity-settled share-based payment expenses, other strategic financing, restructuring costs in relation to diagnostic business, transactional expense and non-recurring expense and fair value adjustments. See the section titled “Unaudited Financial Information and Non-IFRS Financial Measures” and</w:t>
      </w:r>
    </w:p>
    <w:p>
      <w:pPr>
        <w:spacing w:after="0" w:line="2" w:lineRule="exact"/>
        <w:rPr>
          <w:sz w:val="20"/>
          <w:szCs w:val="20"/>
          <w:color w:val="auto"/>
        </w:rPr>
      </w:pPr>
    </w:p>
    <w:p>
      <w:pPr>
        <w:ind w:left="424" w:right="840"/>
        <w:spacing w:after="0" w:line="250" w:lineRule="auto"/>
        <w:rPr>
          <w:sz w:val="20"/>
          <w:szCs w:val="20"/>
          <w:color w:val="auto"/>
        </w:rPr>
      </w:pPr>
      <w:r>
        <w:rPr>
          <w:rFonts w:ascii="Times New Roman" w:cs="Times New Roman" w:eastAsia="Times New Roman" w:hAnsi="Times New Roman"/>
          <w:sz w:val="18"/>
          <w:szCs w:val="18"/>
          <w:color w:val="auto"/>
        </w:rPr>
        <w:t>the table captioned “Reconciliation of profit/(loss) attributable to equity shareholders of Prenetics under IFRS and adjusted profit/(loss) attributable to equity shareholders of Prenetics (Non-IFRS)” for more details.</w:t>
      </w:r>
    </w:p>
    <w:p>
      <w:pPr>
        <w:spacing w:after="0" w:line="1" w:lineRule="exact"/>
        <w:rPr>
          <w:sz w:val="20"/>
          <w:szCs w:val="20"/>
          <w:color w:val="auto"/>
        </w:rPr>
      </w:pPr>
    </w:p>
    <w:p>
      <w:pPr>
        <w:ind w:left="424" w:right="60" w:hanging="424"/>
        <w:spacing w:after="0" w:line="227"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EBITDA (non-IFRS) represents profit/(loss) from operations under IFRS before employee equity-settled share-based payment expenses, depreciation and amortization, other strategic financing, transactional expense, restructuring costs in relation to diagnostic business and non-operating recurring expense, and finance income, exchange gain or loss. See the section titled “Unaudited Financial Information and Non-IFRS Financial Measures” and the table captioned “Reconciliation of profit/(loss) from operations under IFRS and adjusted EBITDA (Non-IFRS)” for more details.</w:t>
      </w:r>
    </w:p>
    <w:p>
      <w:pPr>
        <w:sectPr>
          <w:pgSz w:w="11900" w:h="16838" w:orient="portrait"/>
          <w:cols w:equalWidth="0" w:num="1">
            <w:col w:w="11024"/>
          </w:cols>
          <w:pgMar w:left="436" w:top="99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Full Year 2022 Financial Highlights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was US$275.8 million for the year ended December 31, 2022 compared to US$275.9 million for the year ended December 31,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 xml:space="preserve">Gross margin </w:t>
      </w:r>
      <w:r>
        <w:rPr>
          <w:rFonts w:ascii="Times New Roman" w:cs="Times New Roman" w:eastAsia="Times New Roman" w:hAnsi="Times New Roman"/>
          <w:sz w:val="17"/>
          <w:szCs w:val="17"/>
          <w:color w:val="auto"/>
        </w:rPr>
        <w:t>was 47.7% for the year ended December 31, 2022 compared to 38.5% for the year ended December 31, 2021.</w:t>
      </w:r>
    </w:p>
    <w:p>
      <w:pPr>
        <w:spacing w:after="0" w:line="130" w:lineRule="exact"/>
        <w:rPr>
          <w:sz w:val="20"/>
          <w:szCs w:val="20"/>
          <w:color w:val="auto"/>
        </w:rPr>
      </w:pPr>
    </w:p>
    <w:p>
      <w:pPr>
        <w:ind w:left="540" w:right="400" w:hanging="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US$23.3 million for year ended December 31, 2022 compared to US$10.2 million for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an increase of 128.1% year-over-year.</w:t>
      </w:r>
    </w:p>
    <w:p>
      <w:pPr>
        <w:spacing w:after="0" w:line="60" w:lineRule="exact"/>
        <w:rPr>
          <w:sz w:val="20"/>
          <w:szCs w:val="20"/>
          <w:color w:val="auto"/>
        </w:rPr>
      </w:pPr>
    </w:p>
    <w:p>
      <w:pPr>
        <w:ind w:left="540" w:right="300" w:hanging="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Adjusted profit attributable to equity shareholders of Prenetics </w:t>
      </w:r>
      <w:r>
        <w:rPr>
          <w:rFonts w:ascii="Times New Roman" w:cs="Times New Roman" w:eastAsia="Times New Roman" w:hAnsi="Times New Roman"/>
          <w:sz w:val="18"/>
          <w:szCs w:val="18"/>
          <w:color w:val="auto"/>
        </w:rPr>
        <w:t>was US$39.2 million for the year ended December 31,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loss of US$17.7 million for the year ended December 31, 2021.</w:t>
      </w:r>
    </w:p>
    <w:p>
      <w:pPr>
        <w:spacing w:after="0" w:line="60" w:lineRule="exact"/>
        <w:rPr>
          <w:sz w:val="20"/>
          <w:szCs w:val="20"/>
          <w:color w:val="auto"/>
        </w:rPr>
      </w:pPr>
    </w:p>
    <w:p>
      <w:pPr>
        <w:ind w:left="540" w:right="60" w:hanging="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US$58.3 million for the year ended December 31, 2022 compared to US$34.0 million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2022 Financial Results</w:t>
      </w:r>
    </w:p>
    <w:p>
      <w:pPr>
        <w:spacing w:after="0" w:line="12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Company had net loss for the year mainly due to non-cash and/or non-recurring: (i) impairment loss in respect of restructuring costs in relation to diagnostic business; (ii) fair value loss on preference shares liabilities; (iii) fair value loss on financial assets; and (iv) share-based payment on listing. After adjusting for such non-cash losses and other non-recurring items, the Company recorded an adjusted profit attributable to equity shareholders of Prenetics of US$39.2 million and adjusted EBITDA was US$58.3 million for the year ended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loss on preference shares liabilities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loss was attributable to Prenetics’ preference shares issued prior to our listing on NASDAQ. This is a non-cash loss and would not recur subsequent to our listing on May 18, 2022.</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had preference shares with mandatory conversion provision that required them to be converted in full to ordinary shares at time of listing. These preference shares were accounted for as financial liabilities under IFRS, and its conversion provision was recognized as derivative financial liabilities and measured at fair value through profit or loss. An increase of the equity value of the Company (prior to our listing) therefore would result in a corresponding increase in the derivative financial liabilities and a non-cash fair value loss.</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fair value loss on preference shares liabilities was US$60.1 million. At completion of our listing on NASDAQ on May 18, 2022, all of the preference shares were fully converted into ordinary shares, and therefore such fair value loss would not recur going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 on listing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Share-based payment on the listing was US$89.5 million and was non-cash and non-recurring in nature. Prenetics was listed on NASDAQ on May 18, 2022 via a de-SPAC transaction by merging with Artisan Acquisition Corp. (“Artisan”). This acquisition of the net assets of Artisan has been accounted for as a share-based compensation for the service of a stock exchange listing and is charged to our profit and loss upon the completion of the transaction. The amount of this payment is calculated based on the excess fair value of consideration transferred over the fair value of Artisan’s identifiable net assets acquired.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loss on financial assets at fair value through profit or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loss is unrealized. Fair value loss on financial assets at fair value through profit or loss was US$9.4 million due to market volatility.</w:t>
      </w:r>
    </w:p>
    <w:p>
      <w:pPr>
        <w:sectPr>
          <w:pgSz w:w="11900" w:h="16838" w:orient="portrait"/>
          <w:cols w:equalWidth="0" w:num="1">
            <w:col w:w="11000"/>
          </w:cols>
          <w:pgMar w:left="440" w:top="99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Restructuring costs (including assets write-downs) in relation to diagnostic business</w:t>
      </w:r>
    </w:p>
    <w:p>
      <w:pPr>
        <w:spacing w:after="0" w:line="121" w:lineRule="exact"/>
        <w:rPr>
          <w:sz w:val="20"/>
          <w:szCs w:val="20"/>
          <w:color w:val="auto"/>
        </w:rPr>
      </w:pPr>
    </w:p>
    <w:p>
      <w:pPr>
        <w:ind w:right="920"/>
        <w:spacing w:after="0" w:line="261" w:lineRule="auto"/>
        <w:rPr>
          <w:sz w:val="20"/>
          <w:szCs w:val="20"/>
          <w:color w:val="auto"/>
        </w:rPr>
      </w:pPr>
      <w:r>
        <w:rPr>
          <w:rFonts w:ascii="Times New Roman" w:cs="Times New Roman" w:eastAsia="Times New Roman" w:hAnsi="Times New Roman"/>
          <w:sz w:val="18"/>
          <w:szCs w:val="18"/>
          <w:color w:val="auto"/>
        </w:rPr>
        <w:t>This is a non-cash and non-recurring item. Restructuring costs (including assets write-downs) in relation to the diagnostic business were US$30.4 million, due to impairment loss arising from our exit from the COVID-19 testing business, recognised on (i) intangible assets of US$19.1 million; (ii) goodwill of US$3.3 million; (iii) property, plant and equipment of US$4.5 million; and (iv) write-off of prepayment of US$3.5 million.</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restructuring primarily involves realigning workforce to ensure the Company’s resources are focused on business areas with more robust growth prospects and higher profitability. This restructuring of operation will result in significant cost savings in the long run and position the Company for sustainable growth. Prenetics holds positive outlook toward the future of business and are committed to transparent communication with our stakeholders.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discussing guidance upon release of Q1 2023 results and providing an update on M&amp;A discussions.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Prenetics is a leading genomics and precision oncology company dedicated to transforming patient care through advanced genomic and molecular technologies. Our new business focus is on precision oncology, specifically on early detection and treatment. We recently acquired ACT Genomics, the only Asia-based company to receive FDA clearance for a comprehensive genomics profiling test for solid tumors. ACT has also enabled us to expand our capabilities and offer comprehensive cancer solutions to patients worldwide. Our team of world-class scientists, healthcare experts, and technology innovators are committed to driving forward precision oncology to improve patient outcomes. At Prenetics, we believe that every patient deserves personalized, effective, and affordable cancer care, and we are dedicated to making that a reality. Prenetics is listed on NASDAQ with the ticker PRE. To learn more about Prenetics, visit </w:t>
      </w:r>
      <w:r>
        <w:rPr>
          <w:rFonts w:ascii="Times New Roman" w:cs="Times New Roman" w:eastAsia="Times New Roman" w:hAnsi="Times New Roman"/>
          <w:sz w:val="18"/>
          <w:szCs w:val="18"/>
          <w:u w:val="single" w:color="auto"/>
          <w:color w:val="auto"/>
        </w:rPr>
        <w:t>www.prenetics.com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investors@prenetics.com</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ICR Westwicke:</w:t>
            </w:r>
          </w:p>
        </w:tc>
        <w:tc>
          <w:tcPr>
            <w:tcW w:w="2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Caroline Corner</w:t>
            </w:r>
          </w:p>
        </w:tc>
        <w:tc>
          <w:tcPr>
            <w:tcW w:w="2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+1 415 202 5678</w:t>
            </w:r>
          </w:p>
        </w:tc>
        <w:tc>
          <w:tcPr>
            <w:tcW w:w="37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w w:val="99"/>
              </w:rPr>
              <w:t>Email: caroline.corner@westwicke.com</w:t>
            </w:r>
          </w:p>
        </w:tc>
      </w:tr>
      <w:tr>
        <w:trPr>
          <w:trHeight w:val="56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2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Strategic Public Relations Group</w:t>
            </w:r>
          </w:p>
        </w:tc>
        <w:tc>
          <w:tcPr>
            <w:tcW w:w="2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Corinne Ho</w:t>
            </w:r>
          </w:p>
        </w:tc>
        <w:tc>
          <w:tcPr>
            <w:tcW w:w="2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+852 2114 4911</w:t>
            </w:r>
          </w:p>
        </w:tc>
        <w:tc>
          <w:tcPr>
            <w:tcW w:w="37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Email: corinne.ho@sprg.com.hk</w:t>
            </w:r>
          </w:p>
        </w:tc>
      </w:tr>
      <w:tr>
        <w:trPr>
          <w:trHeight w:val="20"/>
        </w:trPr>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should not be relied upon as being necessarily indicative of future results. A number of factors could cause actual results to differ materially from those contained in any forward-looking statement, including but not limited to: the Company’s ability to further develop its business, including new products and services; its ability to execute on its new business strategy in genomics and precision oncology; its ability to identify and execute on M&amp;A opportunities, especially in precision oncology; its ability to reduce costs and improve efficiencies through its restructuring efforts; its expectations on ACT Genomics’ contribution to its revenues. In addition to the foregoing factors, you should also carefully consider the other risks and uncertainties described in the “Risk Factors” section of the Company’s registration statement on Form F-1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ectPr>
          <w:pgSz w:w="11900" w:h="16838" w:orient="portrait"/>
          <w:cols w:equalWidth="0" w:num="1">
            <w:col w:w="11000"/>
          </w:cols>
          <w:pgMar w:left="440" w:top="99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Basis of Presentation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adjusted gross profit and adjusted profit/(loss)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finance income and exchange gain or loss, and (4) certain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8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profit/(loss) from operations under IFRS and adjusted EBITDA (Non-IFRS)”, “Reconciliation of gross profit under IFRS and adjusted gross profit (Non-IFRS)” and “Reconciliation of profit/(loss) attributable to equity shareholders of Prenetics under IFRS and adjusted profit/(loss) attributable to equity shareholders of Prenetics (Non-IFRS)” set forth at the end of this document.</w:t>
      </w:r>
    </w:p>
    <w:p>
      <w:pPr>
        <w:sectPr>
          <w:pgSz w:w="11900" w:h="16838" w:orient="portrait"/>
          <w:cols w:equalWidth="0" w:num="1">
            <w:col w:w="11000"/>
          </w:cols>
          <w:pgMar w:left="440" w:top="995" w:right="45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r>
      <w:tr>
        <w:trPr>
          <w:trHeight w:val="142"/>
        </w:trPr>
        <w:tc>
          <w:tcPr>
            <w:tcW w:w="1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r>
      <w:tr>
        <w:trPr>
          <w:trHeight w:val="209"/>
        </w:trPr>
        <w:tc>
          <w:tcPr>
            <w:tcW w:w="122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13,102,546</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13,037,192</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11,277,305</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23,826,282</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32,826,878</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3,978,065</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in associates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788,472</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243,449</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79,702</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6,307,834</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1,292,462</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693,548</w:t>
            </w: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65,838,946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41,614,789</w:t>
            </w:r>
          </w:p>
        </w:tc>
        <w:tc>
          <w:tcPr>
            <w:tcW w:w="120" w:type="dxa"/>
            <w:vAlign w:val="bottom"/>
          </w:tcPr>
          <w:p>
            <w:pPr>
              <w:spacing w:after="0"/>
              <w:rPr>
                <w:sz w:val="20"/>
                <w:szCs w:val="20"/>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4,577,255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4,861,418</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6,829,226</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41,691,913</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47,041,538</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prepayments and other receivables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6,889,114</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7,817,756</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companies</w:t>
            </w:r>
          </w:p>
        </w:tc>
        <w:tc>
          <w:tcPr>
            <w:tcW w:w="1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9,060</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17,537,608</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9,906,000</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19,920,160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146,660,195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35,288,952</w:t>
            </w:r>
          </w:p>
        </w:tc>
      </w:tr>
      <w:tr>
        <w:trPr>
          <w:trHeight w:val="27"/>
        </w:trPr>
        <w:tc>
          <w:tcPr>
            <w:tcW w:w="12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242,137,663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106,892,532</w:t>
            </w: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307,976,609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148,507,321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2,455,555</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659,498</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liabilities</w:t>
            </w:r>
          </w:p>
        </w:tc>
        <w:tc>
          <w:tcPr>
            <w:tcW w:w="1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486,404,770</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3,574,885</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3,763,230</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3,600,232</w:t>
            </w: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10,743,371</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490,664,500</w:t>
            </w: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7,291,133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9,979,726</w:t>
            </w:r>
          </w:p>
        </w:tc>
        <w:tc>
          <w:tcPr>
            <w:tcW w:w="120" w:type="dxa"/>
            <w:vAlign w:val="bottom"/>
          </w:tcPr>
          <w:p>
            <w:pPr>
              <w:spacing w:after="0"/>
              <w:rPr>
                <w:sz w:val="19"/>
                <w:szCs w:val="19"/>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15,611,421</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36,280,298</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5,674,290</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9,587,245</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2,882,933</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1,666,978</w:t>
            </w:r>
          </w:p>
        </w:tc>
      </w:tr>
      <w:tr>
        <w:trPr>
          <w:trHeight w:val="216"/>
        </w:trPr>
        <w:tc>
          <w:tcPr>
            <w:tcW w:w="7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Liabilities for puttable financial instrument</w:t>
            </w:r>
            <w:r>
              <w:rPr>
                <w:rFonts w:ascii="Times New Roman" w:cs="Times New Roman" w:eastAsia="Times New Roman" w:hAnsi="Times New Roman"/>
                <w:sz w:val="25"/>
                <w:szCs w:val="25"/>
                <w:color w:val="auto"/>
                <w:vertAlign w:val="superscript"/>
              </w:rPr>
              <w:t>4</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17,138,905</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8,596,433</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1,223,487</w:t>
            </w: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57,195,115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58,737,734</w:t>
            </w:r>
          </w:p>
        </w:tc>
        <w:tc>
          <w:tcPr>
            <w:tcW w:w="120" w:type="dxa"/>
            <w:vAlign w:val="bottom"/>
          </w:tcPr>
          <w:p>
            <w:pPr>
              <w:spacing w:after="0"/>
              <w:rPr>
                <w:sz w:val="20"/>
                <w:szCs w:val="20"/>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67,938,486</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549,402,234</w:t>
            </w: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capital</w:t>
            </w:r>
            <w:r>
              <w:rPr>
                <w:rFonts w:ascii="Times New Roman" w:cs="Times New Roman" w:eastAsia="Times New Roman" w:hAnsi="Times New Roman"/>
                <w:sz w:val="25"/>
                <w:szCs w:val="25"/>
                <w:color w:val="auto"/>
                <w:vertAlign w:val="superscript"/>
              </w:rPr>
              <w:t>5</w:t>
            </w:r>
          </w:p>
        </w:tc>
        <w:tc>
          <w:tcPr>
            <w:tcW w:w="2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13,698</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1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237,050,429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(400,811,431)</w:t>
            </w:r>
          </w:p>
        </w:tc>
      </w:tr>
      <w:tr>
        <w:trPr>
          <w:trHeight w:val="27"/>
        </w:trPr>
        <w:tc>
          <w:tcPr>
            <w:tcW w:w="12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equity/(equity deficiency) attributable to equity shareholders of the Company</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237,064,127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(400,809,938)</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2,973,996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(84,975)</w:t>
            </w:r>
          </w:p>
        </w:tc>
      </w:tr>
      <w:tr>
        <w:trPr>
          <w:trHeight w:val="27"/>
        </w:trPr>
        <w:tc>
          <w:tcPr>
            <w:tcW w:w="12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equity/(equity deficiency)</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240,038,123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(400,894,913)</w:t>
            </w:r>
          </w:p>
        </w:tc>
      </w:tr>
      <w:tr>
        <w:trPr>
          <w:trHeight w:val="22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307,976,609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148,507,321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424" w:right="32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connection with the acquisition of ACT Genomics, the remaining shareholders of ACT Genomics - representing 25.61% of the fully diluted shareholding of ACT Genomics that Prenetics does not own - were granted put options which allow these remaining shareholders to put their</w:t>
      </w:r>
    </w:p>
    <w:p>
      <w:pPr>
        <w:spacing w:after="0" w:line="2" w:lineRule="exact"/>
        <w:rPr>
          <w:sz w:val="20"/>
          <w:szCs w:val="20"/>
          <w:color w:val="auto"/>
        </w:rPr>
      </w:pPr>
    </w:p>
    <w:p>
      <w:pPr>
        <w:ind w:left="424" w:right="100"/>
        <w:spacing w:after="0" w:line="250" w:lineRule="auto"/>
        <w:rPr>
          <w:sz w:val="20"/>
          <w:szCs w:val="20"/>
          <w:color w:val="auto"/>
        </w:rPr>
      </w:pPr>
      <w:r>
        <w:rPr>
          <w:rFonts w:ascii="Times New Roman" w:cs="Times New Roman" w:eastAsia="Times New Roman" w:hAnsi="Times New Roman"/>
          <w:sz w:val="18"/>
          <w:szCs w:val="18"/>
          <w:color w:val="auto"/>
        </w:rPr>
        <w:t xml:space="preserve">remaining shares to Prenetics under certain conditions. The liabilities arising from such put option are recorded as </w:t>
      </w:r>
      <w:r>
        <w:rPr>
          <w:rFonts w:ascii="Times New Roman" w:cs="Times New Roman" w:eastAsia="Times New Roman" w:hAnsi="Times New Roman"/>
          <w:sz w:val="18"/>
          <w:szCs w:val="18"/>
          <w:i w:val="1"/>
          <w:iCs w:val="1"/>
          <w:color w:val="auto"/>
        </w:rPr>
        <w:t>liabilities for puttable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w:t>
      </w:r>
      <w:r>
        <w:rPr>
          <w:rFonts w:ascii="Times New Roman" w:cs="Times New Roman" w:eastAsia="Times New Roman" w:hAnsi="Times New Roman"/>
          <w:sz w:val="18"/>
          <w:szCs w:val="18"/>
          <w:color w:val="auto"/>
        </w:rPr>
        <w:t>, and are valued at the present value of the exercise price of the put option.</w:t>
      </w:r>
    </w:p>
    <w:p>
      <w:pPr>
        <w:ind w:left="424" w:hanging="424"/>
        <w:spacing w:after="0" w:line="180" w:lineRule="auto"/>
        <w:tabs>
          <w:tab w:leader="none" w:pos="4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Represents number of authorized and issued shares as follows:</w:t>
      </w:r>
    </w:p>
    <w:p>
      <w:pPr>
        <w:spacing w:after="0" w:line="11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80" w:type="dxa"/>
            <w:vAlign w:val="bottom"/>
          </w:tcPr>
          <w:p>
            <w:pPr>
              <w:spacing w:after="0"/>
              <w:rPr>
                <w:sz w:val="13"/>
                <w:szCs w:val="13"/>
                <w:color w:val="auto"/>
              </w:rPr>
            </w:pPr>
          </w:p>
        </w:tc>
        <w:tc>
          <w:tcPr>
            <w:tcW w:w="21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authorized shares of $0.0001 each</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issued shares</w:t>
            </w: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136,983,110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887" w:right="4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80" w:type="dxa"/>
            <w:vAlign w:val="bottom"/>
          </w:tcPr>
          <w:p>
            <w:pPr>
              <w:spacing w:after="0"/>
              <w:rPr>
                <w:sz w:val="13"/>
                <w:szCs w:val="13"/>
                <w:color w:val="auto"/>
              </w:rPr>
            </w:pPr>
          </w:p>
        </w:tc>
        <w:tc>
          <w:tcPr>
            <w:tcW w:w="2460" w:type="dxa"/>
            <w:vAlign w:val="bottom"/>
            <w:gridSpan w:val="4"/>
          </w:tcPr>
          <w:p>
            <w:pPr>
              <w:jc w:val="center"/>
              <w:ind w:right="21"/>
              <w:spacing w:after="0"/>
              <w:rPr>
                <w:sz w:val="20"/>
                <w:szCs w:val="20"/>
                <w:color w:val="auto"/>
              </w:rPr>
            </w:pPr>
            <w:r>
              <w:rPr>
                <w:rFonts w:ascii="Times New Roman" w:cs="Times New Roman" w:eastAsia="Times New Roman" w:hAnsi="Times New Roman"/>
                <w:sz w:val="14"/>
                <w:szCs w:val="14"/>
                <w:b w:val="1"/>
                <w:bCs w:val="1"/>
                <w:i w:val="1"/>
                <w:iCs w:val="1"/>
                <w:color w:val="auto"/>
                <w:w w:val="99"/>
              </w:rPr>
              <w:t>Year Ended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0" w:type="dxa"/>
            <w:vAlign w:val="bottom"/>
          </w:tcPr>
          <w:p>
            <w:pPr>
              <w:spacing w:after="0"/>
              <w:rPr>
                <w:sz w:val="15"/>
                <w:szCs w:val="15"/>
                <w:color w:val="auto"/>
              </w:rPr>
            </w:pPr>
          </w:p>
        </w:tc>
        <w:tc>
          <w:tcPr>
            <w:tcW w:w="2460" w:type="dxa"/>
            <w:vAlign w:val="bottom"/>
            <w:gridSpan w:val="4"/>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52,320,754</w:t>
            </w:r>
          </w:p>
        </w:tc>
        <w:tc>
          <w:tcPr>
            <w:tcW w:w="120" w:type="dxa"/>
            <w:vAlign w:val="bottom"/>
          </w:tcPr>
          <w:p>
            <w:pPr>
              <w:spacing w:after="0"/>
              <w:rPr>
                <w:sz w:val="18"/>
                <w:szCs w:val="18"/>
                <w:color w:val="auto"/>
              </w:rPr>
            </w:pP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64,716,261</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275,761,298</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275,852,753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(25,317,570)</w:t>
            </w: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(40,950,808)</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(144,206,412)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(169,721,542)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27,003,184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131,554,886</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106,131,211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other net gain/(losses)</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1,149,335</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(60,357)</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404,643</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138,948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Selling and distribution expenses</w:t>
            </w:r>
            <w:r>
              <w:rPr>
                <w:rFonts w:ascii="Times New Roman" w:cs="Times New Roman" w:eastAsia="Times New Roman" w:hAnsi="Times New Roman"/>
                <w:sz w:val="25"/>
                <w:szCs w:val="25"/>
                <w:color w:val="auto"/>
                <w:vertAlign w:val="superscript"/>
              </w:rPr>
              <w:t>6</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(2,503,384)</w:t>
            </w: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(10,356,487)</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(13,301,436)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(21,932,322)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6</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(3,605,801)</w:t>
            </w: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(5,459,872)</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(15,519,228)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(10,563,952)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costs in relation to diagnostic business</w:t>
            </w:r>
            <w:r>
              <w:rPr>
                <w:rFonts w:ascii="Times New Roman" w:cs="Times New Roman" w:eastAsia="Times New Roman" w:hAnsi="Times New Roman"/>
                <w:sz w:val="25"/>
                <w:szCs w:val="25"/>
                <w:color w:val="auto"/>
                <w:vertAlign w:val="superscript"/>
              </w:rPr>
              <w:t>7</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(2,709,143)</w:t>
            </w: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(30,378,741)</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Administrative and other operating expenses</w:t>
            </w:r>
            <w:r>
              <w:rPr>
                <w:rFonts w:ascii="Times New Roman" w:cs="Times New Roman" w:eastAsia="Times New Roman" w:hAnsi="Times New Roman"/>
                <w:sz w:val="25"/>
                <w:szCs w:val="25"/>
                <w:color w:val="auto"/>
                <w:vertAlign w:val="superscript"/>
              </w:rPr>
              <w:t>6</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(14,704,261)</w:t>
            </w: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(38,641,860)</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(96,063,312)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(83,991,413)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4,629,930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(30,753,123)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(23,303,188)</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(10,217,528)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(7,689,311)</w:t>
            </w: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(94,000)</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(9,363,495)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(89,546,601)</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(29,054,669)</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(53,513,591)</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(60,091,353)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(125,398,798)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 on warrant liabilities</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6,498,365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3,196,538</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 on amount due from a shareholder</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117,238</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 subsidiary</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(292,132)</w:t>
            </w:r>
          </w:p>
        </w:tc>
        <w:tc>
          <w:tcPr>
            <w:tcW w:w="80" w:type="dxa"/>
            <w:vAlign w:val="bottom"/>
          </w:tcPr>
          <w:p>
            <w:pPr>
              <w:spacing w:after="0"/>
              <w:rPr>
                <w:sz w:val="18"/>
                <w:szCs w:val="18"/>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(116,029)</w:t>
            </w:r>
          </w:p>
        </w:tc>
        <w:tc>
          <w:tcPr>
            <w:tcW w:w="11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(2,462,779)</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(4,198,184)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(5,238,030)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taxation</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3,322,955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(87,115,625)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(183,306,283)</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(170,284,098)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(1,715,012)</w:t>
            </w:r>
          </w:p>
        </w:tc>
        <w:tc>
          <w:tcPr>
            <w:tcW w:w="11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1,372,620</w:t>
            </w:r>
          </w:p>
        </w:tc>
        <w:tc>
          <w:tcPr>
            <w:tcW w:w="13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(7,147,104)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(3,732,744)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period/year</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1,607,943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(85,743,005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(190,453,387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(174,016,842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Borders>
              <w:bottom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362"/>
        </w:trPr>
        <w:tc>
          <w:tcPr>
            <w:tcW w:w="8300" w:type="dxa"/>
            <w:vAlign w:val="bottom"/>
            <w:gridSpan w:val="9"/>
          </w:tcPr>
          <w:p>
            <w:pPr>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 Includes equity-settled share-based payment expenses (excluding share-based payment on listing) as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80" w:type="dxa"/>
            <w:vAlign w:val="bottom"/>
          </w:tcPr>
          <w:p>
            <w:pPr>
              <w:spacing w:after="0"/>
              <w:rPr>
                <w:sz w:val="20"/>
                <w:szCs w:val="20"/>
                <w:color w:val="auto"/>
              </w:rPr>
            </w:pPr>
          </w:p>
        </w:tc>
        <w:tc>
          <w:tcPr>
            <w:tcW w:w="2460" w:type="dxa"/>
            <w:vAlign w:val="bottom"/>
            <w:gridSpan w:val="4"/>
          </w:tcPr>
          <w:p>
            <w:pPr>
              <w:jc w:val="center"/>
              <w:ind w:right="21"/>
              <w:spacing w:after="0"/>
              <w:rPr>
                <w:sz w:val="20"/>
                <w:szCs w:val="20"/>
                <w:color w:val="auto"/>
              </w:rPr>
            </w:pPr>
            <w:r>
              <w:rPr>
                <w:rFonts w:ascii="Times New Roman" w:cs="Times New Roman" w:eastAsia="Times New Roman" w:hAnsi="Times New Roman"/>
                <w:sz w:val="14"/>
                <w:szCs w:val="14"/>
                <w:b w:val="1"/>
                <w:bCs w:val="1"/>
                <w:i w:val="1"/>
                <w:iCs w:val="1"/>
                <w:color w:val="auto"/>
                <w:w w:val="99"/>
              </w:rPr>
              <w:t>Year Ended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0" w:type="dxa"/>
            <w:vAlign w:val="bottom"/>
          </w:tcPr>
          <w:p>
            <w:pPr>
              <w:spacing w:after="0"/>
              <w:rPr>
                <w:sz w:val="15"/>
                <w:szCs w:val="15"/>
                <w:color w:val="auto"/>
              </w:rPr>
            </w:pPr>
          </w:p>
        </w:tc>
        <w:tc>
          <w:tcPr>
            <w:tcW w:w="2460" w:type="dxa"/>
            <w:vAlign w:val="bottom"/>
            <w:gridSpan w:val="4"/>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63,033</w:t>
            </w:r>
          </w:p>
        </w:tc>
        <w:tc>
          <w:tcPr>
            <w:tcW w:w="120" w:type="dxa"/>
            <w:vAlign w:val="bottom"/>
          </w:tcPr>
          <w:p>
            <w:pPr>
              <w:spacing w:after="0"/>
              <w:rPr>
                <w:sz w:val="18"/>
                <w:szCs w:val="18"/>
                <w:color w:val="auto"/>
              </w:rPr>
            </w:pP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9,630</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169,942</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25,254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747,059</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864,997</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4,604,676</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3,588,367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and other operating expenses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2,392,105</w:t>
            </w:r>
          </w:p>
        </w:tc>
        <w:tc>
          <w:tcPr>
            <w:tcW w:w="120" w:type="dxa"/>
            <w:vAlign w:val="bottom"/>
          </w:tcPr>
          <w:p>
            <w:pPr>
              <w:spacing w:after="0"/>
              <w:rPr>
                <w:sz w:val="19"/>
                <w:szCs w:val="19"/>
                <w:color w:val="auto"/>
              </w:rPr>
            </w:pP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8,601,601</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26,564,567</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18,527,993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equity-settled share-based payment expenses (excluding share-based</w:t>
            </w: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on listing)</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3,202,197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9,476,228</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31,339,185</w:t>
            </w:r>
          </w:p>
        </w:tc>
        <w:tc>
          <w:tcPr>
            <w:tcW w:w="11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22,141,614</w:t>
            </w: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 Includes restructuring costs in relation to diagnostic business as follows:</w:t>
            </w: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5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80" w:type="dxa"/>
            <w:vAlign w:val="bottom"/>
          </w:tcPr>
          <w:p>
            <w:pPr>
              <w:spacing w:after="0"/>
              <w:rPr>
                <w:sz w:val="19"/>
                <w:szCs w:val="19"/>
                <w:color w:val="auto"/>
              </w:rPr>
            </w:pPr>
          </w:p>
        </w:tc>
        <w:tc>
          <w:tcPr>
            <w:tcW w:w="246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i w:val="1"/>
                <w:iCs w:val="1"/>
                <w:color w:val="auto"/>
                <w:w w:val="99"/>
              </w:rPr>
              <w:t>Year Ended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0" w:type="dxa"/>
            <w:vAlign w:val="bottom"/>
          </w:tcPr>
          <w:p>
            <w:pPr>
              <w:spacing w:after="0"/>
              <w:rPr>
                <w:sz w:val="15"/>
                <w:szCs w:val="15"/>
                <w:color w:val="auto"/>
              </w:rPr>
            </w:pPr>
          </w:p>
        </w:tc>
        <w:tc>
          <w:tcPr>
            <w:tcW w:w="2460" w:type="dxa"/>
            <w:vAlign w:val="bottom"/>
            <w:gridSpan w:val="4"/>
          </w:tcPr>
          <w:p>
            <w:pPr>
              <w:jc w:val="center"/>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8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on intangible assets</w:t>
            </w: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19,109,580</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on goodwill</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3,272,253</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on property, plant and equipment</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2,709,143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4,447,610</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prepayment</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3,549,298</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restructuring costs in relation to diagnostic business</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2,709,143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30,378,741</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995" w:right="4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3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i w:val="1"/>
                <w:iCs w:val="1"/>
                <w:color w:val="auto"/>
              </w:rPr>
              <w:t>Year Ended</w:t>
            </w: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23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0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period/year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1,607,943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(85,743,005)</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(190,453,387)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(174,016,842)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period/year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Item that may be reclassified subsequently to profit or loss: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 on translation of:</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statements of subsidiaries and a joint venture outside Hong Kong</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2,759,672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1,266,712</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(4,842,932)</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260,112</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comprehensive income for the</w:t>
            </w: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period/year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4,367,615</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(84,476,293)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(195,296,319)</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(173,756,730)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Profit/(loss) attributable to:</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1,607,942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(85,742,978)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(190,453,333)</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(174,009,273)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1,607,943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(85,743,005)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(190,453,387)</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(174,016,842)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4,367,614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(84,476,266)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(195,296,265)</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(173,749,161)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4,367,615</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(84,476,293)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(195,296,319)</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(173,756,730)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Earnings/(loss)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115,386,543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14,596,997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76,039,727</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14,596,997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162,708,402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14,596,997</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76,039,727</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14,596,997</w:t>
            </w:r>
          </w:p>
        </w:tc>
        <w:tc>
          <w:tcPr>
            <w:tcW w:w="0" w:type="dxa"/>
            <w:vAlign w:val="bottom"/>
          </w:tcPr>
          <w:p>
            <w:pPr>
              <w:spacing w:after="0"/>
              <w:rPr>
                <w:sz w:val="1"/>
                <w:szCs w:val="1"/>
                <w:color w:val="auto"/>
              </w:rPr>
            </w:pPr>
          </w:p>
        </w:tc>
      </w:tr>
    </w:tbl>
    <w:p>
      <w:pPr>
        <w:sectPr>
          <w:pgSz w:w="11900" w:h="16838" w:orient="portrait"/>
          <w:cols w:equalWidth="0" w:num="1">
            <w:col w:w="11020"/>
          </w:cols>
          <w:pgMar w:left="440" w:top="995"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profit/(loss) from operations under IFRS and adjusted EBITDA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9"/>
          </w:tcPr>
          <w:p>
            <w:pPr>
              <w:jc w:val="right"/>
              <w:ind w:right="5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60" w:type="dxa"/>
            <w:vAlign w:val="bottom"/>
          </w:tcPr>
          <w:p>
            <w:pPr>
              <w:spacing w:after="0"/>
              <w:rPr>
                <w:sz w:val="13"/>
                <w:szCs w:val="13"/>
                <w:color w:val="auto"/>
              </w:rPr>
            </w:pPr>
          </w:p>
        </w:tc>
        <w:tc>
          <w:tcPr>
            <w:tcW w:w="22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9"/>
              </w:rPr>
              <w:t>Year Ended</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60" w:type="dxa"/>
            <w:vAlign w:val="bottom"/>
          </w:tcPr>
          <w:p>
            <w:pPr>
              <w:spacing w:after="0"/>
              <w:rPr>
                <w:sz w:val="15"/>
                <w:szCs w:val="15"/>
                <w:color w:val="auto"/>
              </w:rPr>
            </w:pPr>
          </w:p>
        </w:tc>
        <w:tc>
          <w:tcPr>
            <w:tcW w:w="22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jc w:val="right"/>
              <w:ind w:right="22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from operations under IFRS</w:t>
            </w: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4,629,930</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(30,753,123)</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(23,303,188)</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(10,217,528)</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equity-settled share-based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expenses</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3,241,872</w:t>
            </w:r>
          </w:p>
        </w:tc>
        <w:tc>
          <w:tcPr>
            <w:tcW w:w="122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9,519,883</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31,580,383</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22,494,918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1,333,231</w:t>
            </w: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3,001,225</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7,542,979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7,346,642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costs in relation to diagnostic</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2,709,143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30,378,741</w:t>
            </w:r>
          </w:p>
        </w:tc>
        <w:tc>
          <w:tcPr>
            <w:tcW w:w="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strategic financing, transactional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expense and non-recurring expenses</w:t>
            </w: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957,150</w:t>
            </w: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12,286,488</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11,898,377</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14,701,871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exchange gain or loss, net</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(751,171)</w:t>
            </w:r>
          </w:p>
        </w:tc>
        <w:tc>
          <w:tcPr>
            <w:tcW w:w="122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44,793</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216,536</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(289,005)</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12,120,155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(5,900,734)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58,313,828</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34,036,898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under IFRS and adjusted gross profit (Non-IFRS)</w:t>
            </w: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60" w:type="dxa"/>
            <w:vAlign w:val="bottom"/>
          </w:tcPr>
          <w:p>
            <w:pPr>
              <w:spacing w:after="0"/>
              <w:rPr>
                <w:sz w:val="24"/>
                <w:szCs w:val="24"/>
                <w:color w:val="auto"/>
              </w:rPr>
            </w:pPr>
          </w:p>
        </w:tc>
        <w:tc>
          <w:tcPr>
            <w:tcW w:w="22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9"/>
              </w:rPr>
              <w:t>Year Ended</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9"/>
          </w:tcPr>
          <w:p>
            <w:pPr>
              <w:jc w:val="right"/>
              <w:ind w:right="90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60" w:type="dxa"/>
            <w:vAlign w:val="bottom"/>
          </w:tcPr>
          <w:p>
            <w:pPr>
              <w:spacing w:after="0"/>
              <w:rPr>
                <w:sz w:val="15"/>
                <w:szCs w:val="15"/>
                <w:color w:val="auto"/>
              </w:rPr>
            </w:pPr>
          </w:p>
        </w:tc>
        <w:tc>
          <w:tcPr>
            <w:tcW w:w="22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6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under IFRS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27,003,184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23,765,453</w:t>
            </w:r>
          </w:p>
        </w:tc>
        <w:tc>
          <w:tcPr>
            <w:tcW w:w="1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131,554,886</w:t>
            </w:r>
          </w:p>
        </w:tc>
        <w:tc>
          <w:tcPr>
            <w:tcW w:w="22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106,131,211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527,722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380,264</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1,892,036</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1,182,134</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(Non-IFRS)</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27,530,906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24,145,717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133,446,922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107,313,345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Reconciliation of profit/(loss) attributable to equity shareholders of Prenetics under IFRS and adjusted profit/(loss) attributable to equity shareholders of Prenetics (Non-IFRS)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24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i w:val="1"/>
                <w:iCs w:val="1"/>
                <w:color w:val="auto"/>
              </w:rPr>
              <w:t>Year Ended</w:t>
            </w:r>
          </w:p>
        </w:tc>
      </w:tr>
      <w:tr>
        <w:trPr>
          <w:trHeight w:val="175"/>
        </w:trPr>
        <w:tc>
          <w:tcPr>
            <w:tcW w:w="5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24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r>
      <w:tr>
        <w:trPr>
          <w:trHeight w:val="142"/>
        </w:trPr>
        <w:tc>
          <w:tcPr>
            <w:tcW w:w="5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20" w:type="dxa"/>
            <w:vAlign w:val="bottom"/>
          </w:tcPr>
          <w:p>
            <w:pPr>
              <w:spacing w:after="0"/>
              <w:rPr>
                <w:sz w:val="12"/>
                <w:szCs w:val="12"/>
                <w:color w:val="auto"/>
              </w:rPr>
            </w:pPr>
          </w:p>
        </w:tc>
      </w:tr>
      <w:tr>
        <w:trPr>
          <w:trHeight w:val="209"/>
        </w:trPr>
        <w:tc>
          <w:tcPr>
            <w:tcW w:w="5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attributable to equity shareholders of Prenetics under IFRS</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1,607,942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(85,742,978)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(190,453,333)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(174,009,273)</w:t>
            </w: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 equity-settled share-based</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expenses</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3,241,872</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9,519,883</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31,580,384</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22,494,918</w:t>
            </w: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strategic financing, transactional</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expense and non-recurring expenses</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957,150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12,286,488</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11,898,377</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14,701,871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89,546,601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3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29,054,669</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53,513,591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60,091,353</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125,398,798</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 on warrant liabilities</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(6,498,365)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(3,196,538)</w:t>
            </w:r>
          </w:p>
        </w:tc>
        <w:tc>
          <w:tcPr>
            <w:tcW w:w="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loss on financial assets at fair</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through profit or loss</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7,689,311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94,000</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9,363,495</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94,000</w:t>
            </w: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costs in relation to diagnostic</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2,709,143</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30,378,741</w:t>
            </w:r>
          </w:p>
        </w:tc>
        <w:tc>
          <w:tcPr>
            <w:tcW w:w="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profit/(loss) attributable to equity shareholders of Prenetics</w:t>
            </w:r>
          </w:p>
        </w:tc>
        <w:tc>
          <w:tcPr>
            <w:tcW w:w="3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(Non-IFRS)</w:t>
            </w:r>
          </w:p>
        </w:tc>
        <w:tc>
          <w:tcPr>
            <w:tcW w:w="1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9,707,053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(10,329,016)</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39,209,080</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17,734,983</w:t>
            </w:r>
          </w:p>
        </w:tc>
      </w:tr>
    </w:tbl>
    <w:p>
      <w:pPr>
        <w:spacing w:after="0" w:line="1" w:lineRule="exact"/>
        <w:rPr>
          <w:sz w:val="20"/>
          <w:szCs w:val="20"/>
          <w:color w:val="auto"/>
        </w:rPr>
      </w:pPr>
    </w:p>
    <w:sectPr>
      <w:pgSz w:w="11900" w:h="16838" w:orient="portrait"/>
      <w:cols w:equalWidth="0" w:num="1">
        <w:col w:w="11020"/>
      </w:cols>
      <w:pgMar w:left="440" w:top="99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endash "/>
      <w:numFmt w:val="bullet"/>
      <w:start w:val="1"/>
    </w:lvl>
  </w:abstractNum>
  <w:abstractNum w:abstractNumId="1">
    <w:nsid w:val="3D1B58BA"/>
    <w:multiLevelType w:val="hybridMultilevel"/>
    <w:lvl w:ilvl="0">
      <w:lvlJc w:val="left"/>
      <w:lvlText w:val="\endash "/>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endash "/>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endash "/>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2023-03-14T09:49:32Z</dcterms:created>
  <dcterms:modified xsi:type="dcterms:W3CDTF">2023-03-14T09:49:32Z</dcterms:modified>
</cp:coreProperties>
</file>