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80871.xml.htm"/>
      <w:bookmarkStart w:id="1" w:name="kswkform4_17912808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Leogrande Hudson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2"/>
        <w:gridCol w:w="771"/>
        <w:gridCol w:w="599"/>
        <w:gridCol w:w="352"/>
        <w:gridCol w:w="899"/>
        <w:gridCol w:w="465"/>
        <w:gridCol w:w="627"/>
        <w:gridCol w:w="118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2,000 Class A Ordinary Shares of the Issuer issued and delivered upon settlement of vested Restricted Stock Units ("RSUs") granted under the Issuer's 2022 Share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granted under the Issuer's 2022 Share Incentive Plan, represents a contingent right to receive one Class A Ordinary Share. The 2,000 RSUs vested on June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Lo, as attorney-in-fact for Hudson Blake Leogrande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128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3571</Characters>
  <CharactersWithSpaces>4154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