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13a-16 OR 15d-16 UNDER</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month of June 2022</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32"/>
          <w:szCs w:val="32"/>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Unit 701-706, K11 Atelier King’s Road</w:t>
      </w:r>
    </w:p>
    <w:p>
      <w:pPr>
        <w:spacing w:after="0" w:line="31"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728 King’s Road, Quarry Bay</w:t>
      </w:r>
    </w:p>
    <w:p>
      <w:pPr>
        <w:spacing w:after="0" w:line="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07"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320" w:top="673" w:right="899" w:bottom="1440" w:gutter="0" w:footer="0" w:header="0"/>
        </w:sectPr>
      </w:pPr>
    </w:p>
    <w:bookmarkStart w:id="1" w:name="page2"/>
    <w:bookmarkEnd w:id="1"/>
    <w:p>
      <w:pPr>
        <w:jc w:val="right"/>
        <w:ind w:right="4019"/>
        <w:spacing w:after="0"/>
        <w:rPr>
          <w:sz w:val="20"/>
          <w:szCs w:val="20"/>
          <w:color w:val="auto"/>
        </w:rPr>
      </w:pPr>
      <w:r>
        <w:rPr>
          <w:rFonts w:ascii="Times New Roman" w:cs="Times New Roman" w:eastAsia="Times New Roman" w:hAnsi="Times New Roman"/>
          <w:sz w:val="18"/>
          <w:szCs w:val="18"/>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Prenetics Global Limited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Lo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156845</wp:posOffset>
            </wp:positionV>
            <wp:extent cx="140589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Prenetics Announces First Quarter 2022 Financial Results After a Successful Listing on the Nasdaq under the Ticker “PRE.”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LONDON AND HONG KONG, June 6, 2022 </w:t>
      </w:r>
      <w:r>
        <w:rPr>
          <w:rFonts w:ascii="Times New Roman" w:cs="Times New Roman" w:eastAsia="Times New Roman" w:hAnsi="Times New Roman"/>
          <w:sz w:val="18"/>
          <w:szCs w:val="18"/>
          <w:color w:val="auto"/>
        </w:rPr>
        <w:t>– Prenetics Global Limited (NASDAQ: PRE) (“Prenetics” or the “Company”), a global leader in genomic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diagnostic testing, today announced its unaudited financial results for the first quarter ended March 31, 2022. The Company recorded strong operational and financial performance driven by solid diagnostics and genetic testing demand, and is on track to achieve revenue guidance for FY2022.</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first quarter revenue of US$92.0 million, up 60.2% year-over-year</w:t>
      </w:r>
    </w:p>
    <w:p>
      <w:pPr>
        <w:spacing w:after="0" w:line="27" w:lineRule="exact"/>
        <w:rPr>
          <w:rFonts w:ascii="Times New Roman" w:cs="Times New Roman" w:eastAsia="Times New Roman" w:hAnsi="Times New Roman"/>
          <w:sz w:val="18"/>
          <w:szCs w:val="18"/>
          <w:color w:val="auto"/>
        </w:rPr>
      </w:pPr>
    </w:p>
    <w:p>
      <w:pPr>
        <w:ind w:left="660" w:hanging="328"/>
        <w:spacing w:after="0" w:line="192" w:lineRule="auto"/>
        <w:tabs>
          <w:tab w:leader="none" w:pos="660" w:val="left"/>
        </w:tabs>
        <w:numPr>
          <w:ilvl w:val="0"/>
          <w:numId w:val="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Loss from operation of US$$0.6 million and record first quarter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US$12.7 million</w:t>
      </w:r>
    </w:p>
    <w:p>
      <w:pPr>
        <w:ind w:left="660" w:right="20" w:hanging="328"/>
        <w:spacing w:after="0" w:line="24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US$260 million cash from the successful completion of Nasdaq listing and strong balance sheet with zero debt to support both organic and inorganic growth</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progress in M&amp;A discussions and geographic expansion</w:t>
      </w:r>
    </w:p>
    <w:p>
      <w:pPr>
        <w:spacing w:after="0" w:line="9" w:lineRule="exact"/>
        <w:rPr>
          <w:rFonts w:ascii="Times New Roman" w:cs="Times New Roman" w:eastAsia="Times New Roman" w:hAnsi="Times New Roman"/>
          <w:sz w:val="18"/>
          <w:szCs w:val="18"/>
          <w:color w:val="auto"/>
        </w:rPr>
      </w:pPr>
    </w:p>
    <w:p>
      <w:pPr>
        <w:ind w:left="660" w:hanging="328"/>
        <w:spacing w:after="0" w:line="219" w:lineRule="auto"/>
        <w:tabs>
          <w:tab w:leader="none" w:pos="66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Robust product pipeline with ColoClear to launch on June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Circle Snapshot to launch in July 2022</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Danny Yeung, CEO &amp; Co-founder of Prenetics,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thrilled to be releasing our first financial results as a publicly listed company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While the overall market remains volatile, our focus has always been to deliver. Our results for the first quarter of 2022 provides a very strong momentum for us. In the coming weeks, we will launch ColoClear, a non-invasive stool DNA test for the screening of colorectal cancer and also Circle Snapshot, a patented, painless, push-button at-home blood test with laboratory test results delivered digitally. In addition, we are making significant progress in M&amp;A discussions globally in the area of telehealth and personalized care which we believe will have significant synergies and provide us the tools needed to build out the World’s first end to end health ecosystem.”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were US$92.0 million, representing an increase of 60.2% from the same period in 2021 and 42.2% from the previous quarter. This uplift was mainly driven by strong demand for the Company’s diagnostics and genetic testing services, including contract awards for provision of COVID-19 testing services granted by the Hong Kong government and in the U.K. Prenetics has performed and delivered more than 22 million laboratory and at-home tests globally as of May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by US$14.1 million, or 64.3%, from US$21.9 million for the three months ended March 31, 2021 to US$36.0 million for the three months ended March 31, 2022. The increase in gross profit was primarily due to the increase in revenue outpacing the increase in direct cost.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margin increased from 38.2% for the three months ended March 31, 2021 to 39.2% for the three months ended March 31, 2022, primarily due to improved cost management in diagnostic testing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7" w:lineRule="exact"/>
        <w:rPr>
          <w:sz w:val="20"/>
          <w:szCs w:val="20"/>
          <w:color w:val="auto"/>
        </w:rPr>
      </w:pPr>
    </w:p>
    <w:p>
      <w:pPr>
        <w:jc w:val="both"/>
        <w:ind w:firstLine="8"/>
        <w:spacing w:after="0" w:line="219" w:lineRule="auto"/>
        <w:tabs>
          <w:tab w:leader="none" w:pos="124"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(non-IFRS) represents (loss)/profit from operations under IFRS before equity-settled share-based payment expenses, depreciation and amortization, other strategic financing, transactional expense and non-operating expense, and finance income, exchange gain or loss. See the section titled “Unaudited Financial Information and Non-IFRS Financial Measures” and the table captioned “Reconciliation of (Loss)/profit from Operations under IFRS and Adjusted EBITDA (Non-IFRS)”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(Loss)/profit from operations decreased by US$11.5 million, or 105.0%, from profit from operations of US$11.1 million for the three months ended March 31, 2021 to loss from operations of US$0.6 million for the three months ended March 31, 2022. The loss was primarily due to increase of non-cash share-based payment associated with an increase in the equity value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and Adjusted Gross Profit (non-IFRS)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Adjusted EBITDA (non-IFRS) was US$12.7 million for the three months ended March 31, 2022, compared with adjusted EBITDA (non-IFRS) US$12.5 million for the same period in 2021. Adjusted gross profit (non-IFRS)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was US$36.5 million for the three months ended March 31, 2022, compared with adjusted gross profit (non-IFRS) US$22.1 million for the same period in 2021. The increase was mainly due to increased operating efficiencies and scalability of the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Company had cash and cash equivalents of US$34.2 million, compared with US$35.3 million as of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Prenetics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Founded in 2014, Prenetics is a major global diagnostics and genetic testing company with the mission to bring health closer to millions of people globally and decentralize healthcare by making the three pillars — Prevention, Diagnostics and Personalized Care — comprehensive and accessible to anyone, at anytime and anywhere. Prenetics is led by visionary entrepreneur, Danny Yeung, with operations across 9 locations, including United Kingdom, Hong Kong, India, South Africa, and Southeast Asia. Prenetics develops consumer genetic testing and early colorectal cancer screening; provides COVID-19 testing, rapid point of care and at-home diagnostic testing and medical genetic testing. To learn more about Prenetics, visit </w:t>
      </w:r>
      <w:r>
        <w:rPr>
          <w:rFonts w:ascii="Times New Roman" w:cs="Times New Roman" w:eastAsia="Times New Roman" w:hAnsi="Times New Roman"/>
          <w:sz w:val="18"/>
          <w:szCs w:val="18"/>
          <w:u w:val="single" w:color="auto"/>
          <w:color w:val="auto"/>
        </w:rPr>
        <w:t>www.prenetics.com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investors@prenetics.com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Finsbury Glover Hering</w:t>
      </w:r>
    </w:p>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Richard Barton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+852 9301 2056</w:t>
            </w:r>
          </w:p>
        </w:tc>
      </w:tr>
      <w:tr>
        <w:trPr>
          <w:trHeight w:val="216"/>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Harry Florry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+852 9818 2239</w:t>
            </w:r>
          </w:p>
        </w:tc>
      </w:tr>
      <w:tr>
        <w:trPr>
          <w:trHeight w:val="234"/>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Nicolas Mo</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+852 6019 9877</w:t>
            </w:r>
          </w:p>
        </w:tc>
      </w:tr>
    </w:tbl>
    <w:p>
      <w:pPr>
        <w:spacing w:after="0"/>
        <w:rPr>
          <w:sz w:val="20"/>
          <w:szCs w:val="20"/>
          <w:color w:val="auto"/>
        </w:rPr>
      </w:pPr>
      <w:r>
        <w:rPr>
          <w:rFonts w:ascii="Times New Roman" w:cs="Times New Roman" w:eastAsia="Times New Roman" w:hAnsi="Times New Roman"/>
          <w:sz w:val="18"/>
          <w:szCs w:val="18"/>
          <w:u w:val="single" w:color="auto"/>
          <w:color w:val="auto"/>
        </w:rPr>
        <w:t>Prenetics-HKG@finsbury.com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2" w:lineRule="exact"/>
        <w:rPr>
          <w:sz w:val="20"/>
          <w:szCs w:val="20"/>
          <w:color w:val="auto"/>
        </w:rPr>
      </w:pPr>
    </w:p>
    <w:p>
      <w:pPr>
        <w:jc w:val="both"/>
        <w:ind w:firstLine="8"/>
        <w:spacing w:after="0" w:line="210" w:lineRule="auto"/>
        <w:tabs>
          <w:tab w:leader="none" w:pos="13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gross profit (non-IFRS) represents gross profit before deduction of depreciation and amortization expenses. See the section titled “Unaudited Financial Information and Non-IFRS Financial Measures” and the table captioned “Reconciliation of Gross Profit under IFRS and Adjusted Gross Profit (Non-IFRS)”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Section 27A of the Securities Act and Section 21E of the Exchange Act that are based on beliefs and assumptions and on information currently available to Prenetics, and also contains certain financial forecasts and projections.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 contained in this document, including, but not limited to, statements about Prenetics’ future results of operations and financial position, plans for new product development and geographic expansion, objectives of management for future operations, projections of market opportunity and revenue growth, competitive position, and technological and market trends, are forward-looking statements.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These statements are based upon estimates and forecasts and reflect the views, assumptions, expectations, and opinions of Prenetics, which involve inherent risks, uncertainties and other factors that may cause actual results, levels of activity, performance or achievements to be materially different from those expressed or implied by these forward-looking statements. Any such estimates, assumptions, expectations, forecasts, views or opinions, whether or not identified in this document, should be regarded as indicative, preliminary and for illustrative purposes only and should not be relied upon as being necessarily indicative of future results. A number of risks and uncertainties could cause actual results to differ materially from those contained in any forward-looking statement, including but not limited to: changes in applicable laws or regulations applicable to Prenetics; developments related to the COVID-19 pandemic; the regulatory environment and changes in laws, regulations or policies in which Prenetics operate; Prenetics’ ability to successfully compete in highly competitive industries and markets; Prenetics’ ability to continue to adjust its offerings to meet market demand; Prenetics’ ability to attract customers to choose its products and services and grow its ecosystem; political instability in the jurisdictions in which Prenetics operates; the overall economic environment and general market and economic conditions in the jurisdiction in which Prenetics operates; and Prenetics’ ability to execute its strategies, manage growth and maintain its corporate culture as it grows. In addition to the foregoing factors, you should also carefully consider the other risks and uncertainties included in Prenetics’ filings with the U.S. Securities and Exchange Commission (the “SEC”) from time to time.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Prenetics does not undertake any obligation to update any forward-looking statement, whether as a result of new information, future developments, or otherwise,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Prenetics intends to use its website as a distribution channel of material company information. Financial and other important information regarding the Company is routinely posted on and accessible through the Company’s website at </w:t>
      </w:r>
      <w:r>
        <w:rPr>
          <w:rFonts w:ascii="Times New Roman" w:cs="Times New Roman" w:eastAsia="Times New Roman" w:hAnsi="Times New Roman"/>
          <w:sz w:val="18"/>
          <w:szCs w:val="18"/>
          <w:u w:val="single" w:color="auto"/>
          <w:color w:val="auto"/>
        </w:rPr>
        <w:t>https://www.prenetics.com/</w:t>
      </w:r>
      <w:r>
        <w:rPr>
          <w:rFonts w:ascii="Times New Roman" w:cs="Times New Roman" w:eastAsia="Times New Roman" w:hAnsi="Times New Roman"/>
          <w:sz w:val="18"/>
          <w:szCs w:val="18"/>
          <w:color w:val="auto"/>
        </w:rPr>
        <w:t xml:space="preserve">. Accordingly, we recommend you to monitor the investor relations portion of our website at </w:t>
      </w:r>
      <w:r>
        <w:rPr>
          <w:rFonts w:ascii="Times New Roman" w:cs="Times New Roman" w:eastAsia="Times New Roman" w:hAnsi="Times New Roman"/>
          <w:sz w:val="18"/>
          <w:szCs w:val="18"/>
          <w:u w:val="single" w:color="auto"/>
          <w:color w:val="auto"/>
        </w:rPr>
        <w:t>https://ir.prenetics.com/</w:t>
      </w:r>
      <w:r>
        <w:rPr>
          <w:rFonts w:ascii="Times New Roman" w:cs="Times New Roman" w:eastAsia="Times New Roman" w:hAnsi="Times New Roman"/>
          <w:sz w:val="18"/>
          <w:szCs w:val="18"/>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“Request Email Alerts” section of our investor relations page at </w:t>
      </w:r>
      <w:r>
        <w:rPr>
          <w:rFonts w:ascii="Times New Roman" w:cs="Times New Roman" w:eastAsia="Times New Roman" w:hAnsi="Times New Roman"/>
          <w:sz w:val="18"/>
          <w:szCs w:val="18"/>
          <w:u w:val="single" w:color="auto"/>
          <w:color w:val="auto"/>
        </w:rPr>
        <w:t>https://ir.prenetics.com/</w:t>
      </w:r>
      <w:r>
        <w:rPr>
          <w:rFonts w:ascii="Times New Roman" w:cs="Times New Roman" w:eastAsia="Times New Roman" w:hAnsi="Times New Roman"/>
          <w:sz w:val="18"/>
          <w:szCs w:val="18"/>
          <w:color w:val="auto"/>
        </w:rPr>
        <w:t>. However, the additional information contained on our website is not part of our SEC filings.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Unaudited Financial Information and Non-IFRS Financial Measures has been provided in the financial statement tables included at the end of this press release. An explanation of these measures is also included below under the heading “Unaudited Financial Information and Non-IFRS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Prenetics’ consolidated financial statements prepared in accordance with International Financial Reporting Standards (“IFRS”), the Company is providing non-IFRS measures, Adjusted EBITDA and adjusted gross profit.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excluding from some or all of its non-IFRS operating results (1) Equity-settled share-based payment expenses, (2) depreciation and amortization, (3) finance income and exchange gain or loss, and (4) other discretionary items determined by management.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(Loss)/profit from Operations under IFRS and Adjusted EBITDA (Non-IFRS)” and “Reconciliation of Gross Profit under IFRS and Adjusted Gross Profit (Non-IFRS)” set forth at the end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PRENETICS GROUP LIMITED and its subsidiaries (“PGL”)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16"/>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8440" w:type="dxa"/>
            <w:vAlign w:val="bottom"/>
          </w:tcPr>
          <w:p>
            <w:pPr>
              <w:spacing w:after="0"/>
              <w:rPr>
                <w:sz w:val="20"/>
                <w:szCs w:val="20"/>
                <w:color w:val="auto"/>
              </w:rPr>
            </w:pPr>
          </w:p>
        </w:tc>
        <w:tc>
          <w:tcPr>
            <w:tcW w:w="146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13,889,642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13,037,192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23,866,729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23,826,282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3,841,604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3,978,065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82,387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79,702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637,816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693,548</w:t>
            </w:r>
          </w:p>
        </w:tc>
        <w:tc>
          <w:tcPr>
            <w:tcW w:w="80" w:type="dxa"/>
            <w:vAlign w:val="bottom"/>
          </w:tcPr>
          <w:p>
            <w:pPr>
              <w:spacing w:after="0"/>
              <w:rPr>
                <w:sz w:val="18"/>
                <w:szCs w:val="18"/>
                <w:color w:val="auto"/>
              </w:rPr>
            </w:pP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42,318,178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41,614,789</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15,684,851</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6,829,226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59,248,964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47,041,538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prepayments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7,735,135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7,406,197</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427,419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411,559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companies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9,670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 at fair value through profit or loss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9,906,000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9,906,000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34,246,918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35,288,952</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127,258,957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106,892,532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169,577,135</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148,507,321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6"/>
        </w:trPr>
        <w:tc>
          <w:tcPr>
            <w:tcW w:w="8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740,057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659,498</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Preference shares liabilities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517,102,888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486,404,770</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3,242,210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3,600,232</w:t>
            </w:r>
          </w:p>
        </w:tc>
        <w:tc>
          <w:tcPr>
            <w:tcW w:w="80" w:type="dxa"/>
            <w:vAlign w:val="bottom"/>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521,085,155</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490,664,500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14,216,664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9,979,726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31,374,348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36,280,298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11,548,746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9,587,245</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1,503,240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1,666,978</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loans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12,076,364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Tax payable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2,807,049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1,223,487</w:t>
            </w:r>
          </w:p>
        </w:tc>
        <w:tc>
          <w:tcPr>
            <w:tcW w:w="80" w:type="dxa"/>
            <w:vAlign w:val="bottom"/>
          </w:tcPr>
          <w:p>
            <w:pPr>
              <w:spacing w:after="0"/>
              <w:rPr>
                <w:sz w:val="18"/>
                <w:szCs w:val="18"/>
                <w:color w:val="auto"/>
              </w:rPr>
            </w:pP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73,526,411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58,737,734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594,611,566</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549,402,234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(424,950,903)</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(400,811,431)</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 deficiency to equity shareholders of the Company</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(424,949,410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(400,809,938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(85,021)</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(84,975)</w:t>
            </w:r>
          </w:p>
        </w:tc>
      </w:tr>
      <w:tr>
        <w:trPr>
          <w:trHeight w:val="210"/>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deficiency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(425,034,431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(400,894,913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169,577,135</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148,507,321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28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PRENETICS GROUP LIMITED and its subsidiaries Unaudited condensed consolidated statements of profit or loss and other comprehensive income </w:t>
      </w:r>
      <w:r>
        <w:rPr>
          <w:rFonts w:ascii="Times New Roman" w:cs="Times New Roman" w:eastAsia="Times New Roman" w:hAnsi="Times New Roman"/>
          <w:sz w:val="18"/>
          <w:szCs w:val="18"/>
          <w:i w:val="1"/>
          <w:iCs w:val="1"/>
          <w:color w:val="auto"/>
        </w:rPr>
        <w:t>(Expressed in United States dollars unless otherwise indicated, except for share)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140" w:type="dxa"/>
            <w:vAlign w:val="bottom"/>
            <w:tcBorders>
              <w:bottom w:val="single" w:sz="8" w:color="auto"/>
            </w:tcBorders>
            <w:gridSpan w:val="5"/>
          </w:tcPr>
          <w:p>
            <w:pPr>
              <w:jc w:val="center"/>
              <w:ind w:left="932"/>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1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60" w:type="dxa"/>
            <w:vAlign w:val="bottom"/>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20" w:type="dxa"/>
            <w:vAlign w:val="bottom"/>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92,044,049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64,716,261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57,454,154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(56,006,216)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(40,950,808)</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(35,519,012)</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36,037,833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23,765,453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other net (losses)/gains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of a joint venture</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(120,873)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distribution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(5,283,146)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(10,356,487)</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(2,354,496)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(3,821,490)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(5,459,872)</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(1,293,175)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and other operating expenses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(27,454,847)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(38,641,860)</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(7,661,198)</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(30,753,123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Finance costs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(2,491,796)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(2,462,779)</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(35,087)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convertible securities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(7,266,092)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preference shares liabilities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(28,276,001)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(53,513,591)</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loss on financial assets at fair value through profit or loss</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(94,000)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 subsidiary</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(292,132)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before taxation</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(31,318,458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(87,115,625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(expense)/credit</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(1,667,438)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1,372,620</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(1,840,688)</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for the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(32,985,896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(85,743,005</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for the period</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Item that may be reclassified subsequently to profit or loss: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translation of:</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 financial statements of subsidiaries and a joint venture outside Hong Kong</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(530,738)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1,266,712</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142"/>
        </w:trPr>
        <w:tc>
          <w:tcPr>
            <w:tcW w:w="69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for the period</w:t>
            </w:r>
          </w:p>
        </w:tc>
        <w:tc>
          <w:tcPr>
            <w:tcW w:w="1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1"/>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81"/>
              <w:spacing w:after="0" w:line="142"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1,911,299</w:t>
            </w:r>
          </w:p>
        </w:tc>
        <w:tc>
          <w:tcPr>
            <w:tcW w:w="100" w:type="dxa"/>
            <w:vAlign w:val="bottom"/>
            <w:tcBorders>
              <w:top w:val="single" w:sz="8" w:color="CCEEFF"/>
            </w:tcBorders>
            <w:vMerge w:val="restart"/>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980" w:type="dxa"/>
            <w:vAlign w:val="bottom"/>
            <w:vMerge w:val="continue"/>
            <w:shd w:val="clear" w:color="auto" w:fill="CCEEFF"/>
          </w:tcPr>
          <w:p>
            <w:pPr>
              <w:spacing w:after="0"/>
              <w:rPr>
                <w:sz w:val="5"/>
                <w:szCs w:val="5"/>
                <w:color w:val="auto"/>
              </w:rPr>
            </w:pPr>
          </w:p>
        </w:tc>
        <w:tc>
          <w:tcPr>
            <w:tcW w:w="148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(33,516,634</w:t>
            </w:r>
          </w:p>
        </w:tc>
        <w:tc>
          <w:tcPr>
            <w:tcW w:w="144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(84,476,293</w:t>
            </w:r>
          </w:p>
        </w:tc>
        <w:tc>
          <w:tcPr>
            <w:tcW w:w="22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attributable to:</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Equity shareholders of PGL</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(32,985,850)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(85,742,978)</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1,917,019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(32,985,896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(85,743,005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1,914,574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attributable to:</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shareholders of PGL</w:t>
            </w:r>
          </w:p>
        </w:tc>
        <w:tc>
          <w:tcPr>
            <w:tcW w:w="14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(33,516,588)</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(84,476,266)</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1,913,744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(2,445)</w:t>
            </w: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(33,516,634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(84,476,293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5900420</wp:posOffset>
            </wp:positionH>
            <wp:positionV relativeFrom="page">
              <wp:posOffset>603250</wp:posOffset>
            </wp:positionV>
            <wp:extent cx="1405890"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18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1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700" w:type="dxa"/>
            <w:vAlign w:val="bottom"/>
            <w:gridSpan w:val="3"/>
          </w:tcPr>
          <w:p>
            <w:pPr>
              <w:jc w:val="center"/>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7"/>
                <w:szCs w:val="17"/>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(Loss)/earnings per share</w:t>
            </w: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(loss)/earnings per share</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(loss)/earnings per share</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14,932,033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14,596,997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14,543,817</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14,932,033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14,596,997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49,635,951</w:t>
            </w:r>
          </w:p>
        </w:tc>
      </w:tr>
      <w:tr>
        <w:trPr>
          <w:trHeight w:val="67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5908675</wp:posOffset>
            </wp:positionH>
            <wp:positionV relativeFrom="page">
              <wp:posOffset>586105</wp:posOffset>
            </wp:positionV>
            <wp:extent cx="1405890"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PRENETICS GROUP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(Expressed in United States dollars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(Loss)/profit from Operations under IFRS and Adjusted EBITDA (Non-IFRS)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314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1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60" w:type="dxa"/>
            <w:vAlign w:val="bottom"/>
            <w:gridSpan w:val="3"/>
          </w:tcPr>
          <w:p>
            <w:pPr>
              <w:jc w:val="center"/>
              <w:ind w:right="4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20" w:type="dxa"/>
            <w:vAlign w:val="bottom"/>
          </w:tcPr>
          <w:p>
            <w:pPr>
              <w:jc w:val="center"/>
              <w:ind w:right="13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(Loss)/profit from operations under IFRS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(550,661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(30,753,123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11,056,441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Equity-settled share-based payment expenses</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9,377,115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9,519,883</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246,697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2,155,295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3,001,225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1,127,825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Other strategic financing, transactional expense and non-operating expense</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1,695,185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12,286,488</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502,684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exchange gain or loss, net</w:t>
            </w:r>
          </w:p>
        </w:tc>
        <w:tc>
          <w:tcPr>
            <w:tcW w:w="14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31,772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44,793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(397,335)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(Non-IFRS)</w:t>
            </w:r>
          </w:p>
        </w:tc>
        <w:tc>
          <w:tcPr>
            <w:tcW w:w="14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8"/>
                <w:szCs w:val="18"/>
                <w:color w:val="auto"/>
              </w:rPr>
              <w:t>12,708,706</w:t>
            </w:r>
          </w:p>
        </w:tc>
        <w:tc>
          <w:tcPr>
            <w:tcW w:w="12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12,536,312</w:t>
            </w:r>
          </w:p>
        </w:tc>
        <w:tc>
          <w:tcPr>
            <w:tcW w:w="0" w:type="dxa"/>
            <w:vAlign w:val="bottom"/>
          </w:tcPr>
          <w:p>
            <w:pPr>
              <w:spacing w:after="0"/>
              <w:rPr>
                <w:sz w:val="1"/>
                <w:szCs w:val="1"/>
                <w:color w:val="auto"/>
              </w:rPr>
            </w:pPr>
          </w:p>
        </w:tc>
      </w:tr>
      <w:tr>
        <w:trPr>
          <w:trHeight w:val="68"/>
        </w:trPr>
        <w:tc>
          <w:tcPr>
            <w:tcW w:w="6980" w:type="dxa"/>
            <w:vAlign w:val="bottom"/>
            <w:vMerge w:val="continue"/>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1440" w:type="dxa"/>
            <w:vAlign w:val="bottom"/>
            <w:gridSpan w:val="2"/>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(5,900,734</w:t>
            </w:r>
          </w:p>
        </w:tc>
        <w:tc>
          <w:tcPr>
            <w:tcW w:w="2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Gross Profit under IFRS and Adjusted Gross Profit (Non-IFRS)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9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80" w:type="dxa"/>
            <w:vAlign w:val="bottom"/>
          </w:tcPr>
          <w:p>
            <w:pPr>
              <w:spacing w:after="0"/>
              <w:rPr>
                <w:sz w:val="24"/>
                <w:szCs w:val="24"/>
                <w:color w:val="auto"/>
              </w:rPr>
            </w:pPr>
          </w:p>
        </w:tc>
        <w:tc>
          <w:tcPr>
            <w:tcW w:w="3140" w:type="dxa"/>
            <w:vAlign w:val="bottom"/>
            <w:tcBorders>
              <w:bottom w:val="single" w:sz="8" w:color="auto"/>
            </w:tcBorders>
            <w:gridSpan w:val="5"/>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980" w:type="dxa"/>
            <w:vAlign w:val="bottom"/>
          </w:tcPr>
          <w:p>
            <w:pPr>
              <w:spacing w:after="0"/>
              <w:rPr>
                <w:sz w:val="17"/>
                <w:szCs w:val="17"/>
                <w:color w:val="auto"/>
              </w:rPr>
            </w:pPr>
          </w:p>
        </w:tc>
        <w:tc>
          <w:tcPr>
            <w:tcW w:w="1480" w:type="dxa"/>
            <w:vAlign w:val="bottom"/>
            <w:gridSpan w:val="2"/>
          </w:tcPr>
          <w:p>
            <w:pPr>
              <w:jc w:val="center"/>
              <w:ind w:right="2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60" w:type="dxa"/>
            <w:vAlign w:val="bottom"/>
            <w:gridSpan w:val="3"/>
          </w:tcPr>
          <w:p>
            <w:pPr>
              <w:jc w:val="center"/>
              <w:ind w:right="3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18"/>
                <w:szCs w:val="18"/>
                <w:color w:val="auto"/>
              </w:rPr>
            </w:pPr>
          </w:p>
        </w:tc>
        <w:tc>
          <w:tcPr>
            <w:tcW w:w="12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20" w:type="dxa"/>
            <w:vAlign w:val="bottom"/>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148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under IFRS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36,037,833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23,765,453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21,935,142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417,619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380,264</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205,392</w:t>
            </w:r>
          </w:p>
        </w:tc>
        <w:tc>
          <w:tcPr>
            <w:tcW w:w="0" w:type="dxa"/>
            <w:vAlign w:val="bottom"/>
          </w:tcPr>
          <w:p>
            <w:pPr>
              <w:spacing w:after="0"/>
              <w:rPr>
                <w:sz w:val="1"/>
                <w:szCs w:val="1"/>
                <w:color w:val="auto"/>
              </w:rPr>
            </w:pPr>
          </w:p>
        </w:tc>
      </w:tr>
      <w:tr>
        <w:trPr>
          <w:trHeight w:val="210"/>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gross profit (Non-IFRS)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36,455,452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24,145,717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22,140,534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2"/>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2022-06-06T06:41:03Z</dcterms:created>
  <dcterms:modified xsi:type="dcterms:W3CDTF">2022-06-06T06:41:03Z</dcterms:modified>
</cp:coreProperties>
</file>