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September 22, 2026</w:t>
      </w:r>
    </w:p>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333-294765</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PRE-EFFECTIVE AMENDMENT NO. 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FORM F-1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REGISTRATION STATEMENT</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 xml:space="preserve">UNDER </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THE SECURITIES ACT OF 1933</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Prenetics Global Limited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(Translation of registrant’s name into English)</w:t>
      </w:r>
    </w:p>
    <w:p>
      <w:pPr>
        <w:pStyle w:val="TextBody"/>
        <w:bidi w:val="0"/>
        <w:spacing w:before="0" w:after="0"/>
        <w:jc w:val="center"/>
        <w:rPr/>
      </w:pPr>
      <w:r>
        <w:rPr/>
      </w:r>
    </w:p>
    <w:tbl>
      <w:tblPr>
        <w:tblW w:w="7225" w:type="dxa"/>
        <w:jc w:val="left"/>
        <w:tblInd w:w="0" w:type="dxa"/>
        <w:tblLayout w:type="fixed"/>
        <w:tblCellMar>
          <w:top w:w="28" w:type="dxa"/>
          <w:left w:w="28" w:type="dxa"/>
          <w:bottom w:w="28" w:type="dxa"/>
          <w:right w:w="28" w:type="dxa"/>
        </w:tblCellMar>
      </w:tblPr>
      <w:tblGrid>
        <w:gridCol w:w="322"/>
        <w:gridCol w:w="282"/>
        <w:gridCol w:w="282"/>
        <w:gridCol w:w="282"/>
        <w:gridCol w:w="282"/>
        <w:gridCol w:w="282"/>
        <w:gridCol w:w="282"/>
        <w:gridCol w:w="282"/>
        <w:gridCol w:w="282"/>
        <w:gridCol w:w="293"/>
        <w:gridCol w:w="293"/>
        <w:gridCol w:w="293"/>
        <w:gridCol w:w="293"/>
        <w:gridCol w:w="293"/>
        <w:gridCol w:w="293"/>
        <w:gridCol w:w="293"/>
        <w:gridCol w:w="293"/>
        <w:gridCol w:w="293"/>
        <w:gridCol w:w="213"/>
        <w:gridCol w:w="213"/>
        <w:gridCol w:w="213"/>
        <w:gridCol w:w="213"/>
        <w:gridCol w:w="213"/>
        <w:gridCol w:w="213"/>
        <w:gridCol w:w="213"/>
        <w:gridCol w:w="213"/>
        <w:gridCol w:w="306"/>
      </w:tblGrid>
      <w:tr>
        <w:trPr/>
        <w:tc>
          <w:tcPr>
            <w:tcW w:w="32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Cayman Islands</w:t>
            </w:r>
          </w:p>
        </w:tc>
        <w:tc>
          <w:tcPr>
            <w:tcW w:w="263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257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63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Number)</w:t>
            </w:r>
          </w:p>
        </w:tc>
      </w:tr>
      <w:tr>
        <w:trPr/>
        <w:tc>
          <w:tcPr>
            <w:tcW w:w="25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 703-706, K11 Atelier</w:t>
            </w:r>
          </w:p>
        </w:tc>
        <w:tc>
          <w:tcPr>
            <w:tcW w:w="20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728 King’s Road, Quarry Bay</w:t>
            </w:r>
          </w:p>
        </w:tc>
        <w:tc>
          <w:tcPr>
            <w:tcW w:w="20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Hong Kong</w:t>
            </w:r>
          </w:p>
        </w:tc>
        <w:tc>
          <w:tcPr>
            <w:tcW w:w="20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Tel: +852 2210 9588</w:t>
            </w:r>
          </w:p>
        </w:tc>
        <w:tc>
          <w:tcPr>
            <w:tcW w:w="20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and telephone number of registrant’s principal executive office)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Cogency Global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122 East 42nd Street, 18th Floor, New York, N.Y. 10168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(800) 221-0102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address, including zip code, and telephone number, including area code, of agent for service)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Copies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Danny Sheng Wu Yeung</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 703-706, K11 Atelier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728 King’s Road, Quarry Bay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Hong Kong</w:t>
      </w:r>
    </w:p>
    <w:p>
      <w:pPr>
        <w:pStyle w:val="TextBody"/>
        <w:bidi w:val="0"/>
        <w:spacing w:lineRule="auto" w:line="288" w:before="0" w:after="0"/>
        <w:jc w:val="center"/>
        <w:rPr/>
      </w:pPr>
      <w:r>
        <w:rPr>
          <w:rFonts w:ascii="Times New Roman;serif" w:hAnsi="Times New Roman;serif"/>
          <w:b/>
          <w:color w:val="000000"/>
          <w:sz w:val="20"/>
        </w:rPr>
        <w:t>Tel: +852 2110 9588</w:t>
      </w:r>
      <w:r>
        <w:rPr>
          <w:color w:val="000000"/>
        </w:rPr>
        <w:t>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Approximate date of commencement of proposed sale to the public: From time to time after the effective date of this registration statement.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only securities being registered on this Form are being offered pursuant to dividend or interest reinvestment plans, please check the following box.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any of the securities being registered on this Form are to be offered on a delayed or continuous basis pursuant to Rule 415 under the Securities Act of 1933, check the following box. </w:t>
      </w:r>
      <w:r>
        <w:rPr>
          <w:rFonts w:ascii="Wingdings;sans-serif" w:hAnsi="Wingdings;sans-serif"/>
          <w:b w:val="false"/>
          <w:color w:val="000000"/>
          <w:sz w:val="20"/>
        </w:rPr>
        <w:t>x</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0"/>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w:t>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pPr>
      <w:r>
        <w:rPr>
          <w:color w:val="000000"/>
          <w:shd w:fill="FFFFFF" w:val="clear"/>
        </w:rPr>
        <w:t xml:space="preserve">† </w:t>
      </w:r>
      <w:r>
        <w:rPr>
          <w:rFonts w:ascii="Times New Roman;serif" w:hAnsi="Times New Roman;serif"/>
          <w:b w:val="false"/>
          <w:color w:val="000000"/>
          <w:sz w:val="20"/>
        </w:rPr>
        <w:t>The term “new or revised financial accounting standard” refers to any update issued by the Financial Accounting Standards Board to its Accounting Standards Codification after April 5, 2012.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EXPLANATORY NOTE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Prenetics Global Limited hereby files this Pre-Effective Amendment No. 3 to the Registration Statement on Form F-1 solely for the purpose of filing the consent of KPMG as Exhibit 23.2 and the consents of Deloitte Touche Tohmatsu as Exhibits 23.3 and 23.4. The remainder of the Registration Statement remains unchanged.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pStyle w:val="TextBody"/>
        <w:bidi w:val="0"/>
        <w:spacing w:lineRule="auto" w:line="240" w:before="0" w:after="160"/>
        <w:jc w:val="center"/>
        <w:rPr>
          <w:rFonts w:ascii="Times New Roman;serif" w:hAnsi="Times New Roman;serif"/>
          <w:b/>
          <w:color w:val="000000"/>
          <w:sz w:val="20"/>
        </w:rPr>
      </w:pPr>
      <w:r>
        <w:rPr>
          <w:rFonts w:ascii="Times New Roman;serif" w:hAnsi="Times New Roman;serif"/>
          <w:b/>
          <w:color w:val="000000"/>
          <w:sz w:val="20"/>
        </w:rPr>
        <w:t>INFORMATION NOT REQUIRED IN THE PROSPECTUS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Indemnification of Directors and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laws of the Cayman Islands do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provides for indemnification of our officers and directors to the maximum extent permitted by law, including for any liability incurred in their capacities as such, except through their own actual fraud or willful default.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entered into indemnification agreements with each of our directors. Under these agreements, we have agreed to indemnify our directors against certain liabilities and expenses incurred by such persons in connection with claims made by reason of their being our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maintain standard policies of insurance under which coverage is provided to our directors and officers against loss arising from claims made by reason of breach of duty or other wrongful act, and to us with respect to payments which may be made by us to such directors and officers pursuant to the above indemnification provision or otherwise as a matter of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 Recent Sales of Unregistered Securities.</w:t>
      </w:r>
    </w:p>
    <w:p>
      <w:pPr>
        <w:pStyle w:val="TextBody"/>
        <w:bidi w:val="0"/>
        <w:spacing w:before="0" w:after="0"/>
        <w:jc w:val="left"/>
        <w:rPr/>
      </w:pPr>
      <w:r>
        <w:rPr/>
      </w:r>
    </w:p>
    <w:p>
      <w:pPr>
        <w:pStyle w:val="TextBody"/>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Set forth below is information regarding securities issued by us since January 1, 2023 that were not registered under the Securities Act. The share numbers below give effect to the Company's reverse share split and are stated in Class A Ordinary Shares.</w:t>
      </w:r>
    </w:p>
    <w:p>
      <w:pPr>
        <w:pStyle w:val="TextBody"/>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During the period from January 1, 2023 through the date of this registration statement, we issued the following Class A Ordinary Shares in transactions not involving any public offering: (i) 168,709 shares to Berry Genomics in connection with our acquisition of ACT Genomics; (ii) 1,481,481 shares to the founders of Insighta in connection with our acquisition of Insighta; (iii) 52,620 shares to the founders of Oxsed upon the exercise of exchange loan notes; (iv) 276,707 shares to certain service providers as consideration for capital markets and investor relations services; and (v) 597,007 shares to certain service providers in relation to our IM8 business.</w:t>
      </w:r>
    </w:p>
    <w:p>
      <w:pPr>
        <w:pStyle w:val="TextBody"/>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In addition, we issued an aggregate of 2,360,416 Class C warrants in privately negotiated transactions in exchange for outstanding Class A warrants and Class B warrants previously held by the participating holders.</w:t>
      </w:r>
    </w:p>
    <w:p>
      <w:pPr>
        <w:pStyle w:val="TextBody"/>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The offers, sales, and issuances of the securities described above were made in reliance upon the exemptions from registration provided by Section 4(a)(2) of the Securities Act and/or Regulation S promulgated thereunder, as transactions by an issuer not involving any public offering or as offers and sales to persons outside the United States, and, with respect to the Class C warrants, in reliance upon the exemption provided by Section 3(a)(9) of the Securities Act as securities exchanged by the issuer exclusively with its existing security holders where no commission or other remuneration was paid or given directly or indirectly for soliciting such exchange. No underwriters were involved in the foregoing issuances.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Exhibits and Financial Statement Schedules.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 Exhibits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11"/>
        <w:gridCol w:w="273"/>
        <w:gridCol w:w="274"/>
        <w:gridCol w:w="109"/>
        <w:gridCol w:w="109"/>
        <w:gridCol w:w="109"/>
        <w:gridCol w:w="1430"/>
        <w:gridCol w:w="1430"/>
        <w:gridCol w:w="1434"/>
        <w:gridCol w:w="109"/>
        <w:gridCol w:w="109"/>
        <w:gridCol w:w="109"/>
        <w:gridCol w:w="195"/>
        <w:gridCol w:w="195"/>
        <w:gridCol w:w="196"/>
        <w:gridCol w:w="111"/>
        <w:gridCol w:w="111"/>
        <w:gridCol w:w="111"/>
        <w:gridCol w:w="280"/>
        <w:gridCol w:w="264"/>
        <w:gridCol w:w="208"/>
        <w:gridCol w:w="111"/>
        <w:gridCol w:w="111"/>
        <w:gridCol w:w="111"/>
        <w:gridCol w:w="280"/>
        <w:gridCol w:w="280"/>
        <w:gridCol w:w="282"/>
        <w:gridCol w:w="111"/>
        <w:gridCol w:w="111"/>
        <w:gridCol w:w="111"/>
        <w:gridCol w:w="380"/>
        <w:gridCol w:w="380"/>
        <w:gridCol w:w="460"/>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Incorporation by Reference</w:t>
            </w:r>
          </w:p>
        </w:tc>
      </w:tr>
      <w:tr>
        <w:trPr/>
        <w:tc>
          <w:tcPr>
            <w:tcW w:w="8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Form</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File No.</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Filing Date</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00"/>
                  <w:sz w:val="20"/>
                  <w:u w:val="single"/>
                </w:rPr>
                <w:t>Form of Warrant Agency Agreement, by and between Prenetics Global Limited and Continental Stock Transfer and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00"/>
                  <w:sz w:val="20"/>
                  <w:u w:val="single"/>
                </w:rPr>
                <w:t>Form of Exchange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001-41401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23, 2025</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00"/>
                  <w:sz w:val="20"/>
                  <w:u w:val="single"/>
                </w:rPr>
                <w:t>Opinion of Mourant Ozannes (Hong Kong)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00"/>
                  <w:sz w:val="20"/>
                  <w:u w:val="single"/>
                </w:rPr>
                <w:t>Form of Warrant Exchange Agreement, by and between Prenetics Global Limited and Continental Stock Transfer and Trust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00"/>
                  <w:sz w:val="20"/>
                  <w:u w:val="single"/>
                </w:rPr>
                <w:t>Consent of Mourant Ozannes (Hong Kong)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2kpmgconsent-fx1a3.htm">
              <w:r>
                <w:rPr>
                  <w:rStyle w:val="InternetLink"/>
                  <w:rFonts w:ascii="Times New Roman;serif" w:hAnsi="Times New Roman;serif"/>
                  <w:b w:val="false"/>
                  <w:color w:val="000000"/>
                  <w:sz w:val="20"/>
                  <w:u w:val="single"/>
                </w:rPr>
                <w:t>Consent of KPMG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3deloitteconsent-fx1a3.htm">
              <w:r>
                <w:rPr>
                  <w:rStyle w:val="InternetLink"/>
                  <w:rFonts w:ascii="Times New Roman;serif" w:hAnsi="Times New Roman;serif"/>
                  <w:b w:val="false"/>
                  <w:color w:val="000000"/>
                  <w:sz w:val="20"/>
                  <w:u w:val="single"/>
                </w:rPr>
                <w:t>Consent of Deloitte Touche Tohmatsu</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4deloitteconsentinsigh.htm">
              <w:r>
                <w:rPr>
                  <w:rStyle w:val="InternetLink"/>
                  <w:rFonts w:ascii="Times New Roman;serif" w:hAnsi="Times New Roman;serif"/>
                  <w:b w:val="false"/>
                  <w:color w:val="000000"/>
                  <w:sz w:val="20"/>
                  <w:u w:val="single"/>
                </w:rPr>
                <w:t>Consent of Deloitte Touche Tohmatsu</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00"/>
                  <w:sz w:val="20"/>
                  <w:u w:val="single"/>
                </w:rPr>
                <w:t>Consent of DaHui Lawyers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00"/>
                  <w:sz w:val="20"/>
                  <w:u w:val="single"/>
                </w:rPr>
                <w:t>Consent of Allbright Law (Hong Kong) Offices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of Attorney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00"/>
                  <w:sz w:val="20"/>
                  <w:u w:val="single"/>
                </w:rPr>
                <w:t>Calculation of 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Previously filed.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 Financial Statement Schedules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schedules have been omitted because either they are not required, are not applicable, or the information is otherwise set forth in the consolidated financial statements and related notes thereto, included in the Company’s annual report on Form 20-F for the fiscal year ended December 31, 2025 filed with the SEC on April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Undertakings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(ii)    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That, for the purpose of determining liability under the Securities Act to any purchaser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(6)     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(7)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     any preliminary prospectus or prospectus of the undersigned Registrant relating to the offering required to be filed pursuant to Rule 424;</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     any free writing prospectus relating to the offering prepared by or on behalf of the undersigned Registrant or used or referred to by the undersigned Registrant;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(iv)     any other communication that is an offer in the offering made by the undersigned Registrant to the purchaser.</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(8)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this registration statement on Form F-1 and has duly caused this registration statement to be signed on its behalf by the undersigned, thereunto duly authorized, in Hong Kong, on September 22, 2026.</w:t>
      </w:r>
    </w:p>
    <w:tbl>
      <w:tblPr>
        <w:tblW w:w="627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Prenetics Global Limited</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4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48"/>
            <w:tcBorders/>
            <w:tcMar>
              <w:top w:w="0" w:type="dxa"/>
              <w:left w:w="0" w:type="dxa"/>
              <w:bottom w:w="0" w:type="dxa"/>
              <w:right w:w="0" w:type="dxa"/>
            </w:tcMar>
            <w:vAlign w:val="center"/>
          </w:tcPr>
          <w:p>
            <w:pPr>
              <w:pStyle w:val="TableContents"/>
              <w:bidi w:val="0"/>
              <w:spacing w:lineRule="auto" w:line="333"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Danny Sheng Wu Yeung</w:t>
            </w:r>
          </w:p>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Name: Danny Sheng Wu Yeung</w:t>
            </w:r>
          </w:p>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p>
            <w:pPr>
              <w:pStyle w:val="TableContents"/>
              <w:bidi w:val="0"/>
              <w:spacing w:before="0" w:after="0"/>
              <w:jc w:val="left"/>
              <w:rPr/>
            </w:pPr>
            <w:r>
              <w:rPr/>
            </w:r>
          </w:p>
          <w:p>
            <w:pPr>
              <w:pStyle w:val="TableContents"/>
              <w:bidi w:val="0"/>
              <w:spacing w:before="0" w:after="160"/>
              <w:jc w:val="center"/>
              <w:rPr/>
            </w:pPr>
            <w:r>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329"/>
        <w:gridCol w:w="229"/>
        <w:gridCol w:w="203"/>
        <w:gridCol w:w="203"/>
        <w:gridCol w:w="203"/>
        <w:gridCol w:w="203"/>
        <w:gridCol w:w="203"/>
        <w:gridCol w:w="203"/>
        <w:gridCol w:w="203"/>
        <w:gridCol w:w="203"/>
        <w:gridCol w:w="203"/>
        <w:gridCol w:w="203"/>
        <w:gridCol w:w="203"/>
        <w:gridCol w:w="203"/>
        <w:gridCol w:w="203"/>
        <w:gridCol w:w="395"/>
        <w:gridCol w:w="313"/>
        <w:gridCol w:w="313"/>
        <w:gridCol w:w="313"/>
        <w:gridCol w:w="313"/>
        <w:gridCol w:w="313"/>
        <w:gridCol w:w="313"/>
        <w:gridCol w:w="313"/>
        <w:gridCol w:w="313"/>
        <w:gridCol w:w="203"/>
        <w:gridCol w:w="203"/>
        <w:gridCol w:w="203"/>
        <w:gridCol w:w="203"/>
        <w:gridCol w:w="203"/>
        <w:gridCol w:w="203"/>
        <w:gridCol w:w="203"/>
        <w:gridCol w:w="203"/>
        <w:gridCol w:w="203"/>
        <w:gridCol w:w="203"/>
        <w:gridCol w:w="203"/>
        <w:gridCol w:w="203"/>
        <w:gridCol w:w="203"/>
        <w:gridCol w:w="203"/>
        <w:gridCol w:w="203"/>
        <w:gridCol w:w="203"/>
        <w:gridCol w:w="203"/>
        <w:gridCol w:w="3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4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ableContents"/>
              <w:bidi w:val="0"/>
              <w:spacing w:before="0" w:after="0"/>
              <w:jc w:val="left"/>
              <w:rPr/>
            </w:pPr>
            <w:r>
              <w:rPr/>
            </w:r>
          </w:p>
          <w:p>
            <w:pPr>
              <w:pStyle w:val="TableContents"/>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and on the dates indicated.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4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CAPACITY</w:t>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712"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Danny Sheng Wu Yeung</w:t>
            </w:r>
          </w:p>
        </w:tc>
        <w:tc>
          <w:tcPr>
            <w:tcW w:w="2899" w:type="dxa"/>
            <w:gridSpan w:val="9"/>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 of Directors</w:t>
            </w:r>
          </w:p>
          <w:p>
            <w:pPr>
              <w:pStyle w:val="TableContents"/>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22, 2026</w:t>
            </w:r>
          </w:p>
        </w:tc>
      </w:tr>
      <w:tr>
        <w:trPr/>
        <w:tc>
          <w:tcPr>
            <w:tcW w:w="353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Danny Sheng Wu Yeung</w:t>
            </w:r>
          </w:p>
        </w:tc>
        <w:tc>
          <w:tcPr>
            <w:tcW w:w="2899" w:type="dxa"/>
            <w:gridSpan w:val="9"/>
            <w:vMerge w:val="continue"/>
            <w:tcBorders/>
            <w:tcMar>
              <w:top w:w="0" w:type="dxa"/>
              <w:left w:w="0" w:type="dxa"/>
              <w:bottom w:w="0" w:type="dxa"/>
              <w:right w:w="0" w:type="dxa"/>
            </w:tcMar>
            <w:vAlign w:val="center"/>
          </w:tcPr>
          <w:p>
            <w:pPr>
              <w:pStyle w:val="Normal"/>
              <w:bidi w:val="0"/>
              <w:jc w:val="left"/>
              <w:rPr/>
            </w:pPr>
            <w:r>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7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Lo Hoi Chun</w:t>
            </w:r>
          </w:p>
        </w:tc>
        <w:tc>
          <w:tcPr>
            <w:tcW w:w="2899" w:type="dxa"/>
            <w:gridSpan w:val="9"/>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Financial and Accounting Officer</w:t>
            </w:r>
            <w:r>
              <w:rPr>
                <w:rFonts w:ascii="Times New Roman;serif" w:hAnsi="Times New Roman;serif"/>
                <w:b w:val="false"/>
                <w:color w:val="000000"/>
                <w:sz w:val="20"/>
              </w:rPr>
              <w:t>)</w:t>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22, 2026</w:t>
            </w:r>
          </w:p>
        </w:tc>
      </w:tr>
      <w:tr>
        <w:trPr/>
        <w:tc>
          <w:tcPr>
            <w:tcW w:w="353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 Hoi Chun</w:t>
            </w:r>
          </w:p>
        </w:tc>
        <w:tc>
          <w:tcPr>
            <w:tcW w:w="2899" w:type="dxa"/>
            <w:gridSpan w:val="9"/>
            <w:vMerge w:val="continue"/>
            <w:tcBorders/>
            <w:tcMar>
              <w:top w:w="0" w:type="dxa"/>
              <w:left w:w="0" w:type="dxa"/>
              <w:bottom w:w="0" w:type="dxa"/>
              <w:right w:w="0" w:type="dxa"/>
            </w:tcMar>
            <w:vAlign w:val="center"/>
          </w:tcPr>
          <w:p>
            <w:pPr>
              <w:pStyle w:val="Normal"/>
              <w:bidi w:val="0"/>
              <w:jc w:val="left"/>
              <w:rPr/>
            </w:pPr>
            <w:r>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7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9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Independent Director</w:t>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22, 2026</w:t>
            </w:r>
          </w:p>
        </w:tc>
      </w:tr>
      <w:tr>
        <w:trPr/>
        <w:tc>
          <w:tcPr>
            <w:tcW w:w="353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Yin Pan Cheng</w:t>
            </w:r>
          </w:p>
        </w:tc>
        <w:tc>
          <w:tcPr>
            <w:tcW w:w="2899" w:type="dxa"/>
            <w:gridSpan w:val="9"/>
            <w:vMerge w:val="continue"/>
            <w:tcBorders/>
            <w:tcMar>
              <w:top w:w="0" w:type="dxa"/>
              <w:left w:w="0" w:type="dxa"/>
              <w:bottom w:w="0" w:type="dxa"/>
              <w:right w:w="0" w:type="dxa"/>
            </w:tcMar>
            <w:vAlign w:val="center"/>
          </w:tcPr>
          <w:p>
            <w:pPr>
              <w:pStyle w:val="Normal"/>
              <w:bidi w:val="0"/>
              <w:jc w:val="left"/>
              <w:rPr/>
            </w:pPr>
            <w:r>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7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9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Independent Director</w:t>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22, 2026</w:t>
            </w:r>
          </w:p>
        </w:tc>
      </w:tr>
      <w:tr>
        <w:trPr/>
        <w:tc>
          <w:tcPr>
            <w:tcW w:w="353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Darshan Ravindra Shah</w:t>
            </w:r>
          </w:p>
        </w:tc>
        <w:tc>
          <w:tcPr>
            <w:tcW w:w="2899" w:type="dxa"/>
            <w:gridSpan w:val="9"/>
            <w:vMerge w:val="continue"/>
            <w:tcBorders/>
            <w:tcMar>
              <w:top w:w="0" w:type="dxa"/>
              <w:left w:w="0" w:type="dxa"/>
              <w:bottom w:w="0" w:type="dxa"/>
              <w:right w:w="0" w:type="dxa"/>
            </w:tcMar>
            <w:vAlign w:val="center"/>
          </w:tcPr>
          <w:p>
            <w:pPr>
              <w:pStyle w:val="Normal"/>
              <w:bidi w:val="0"/>
              <w:jc w:val="left"/>
              <w:rPr/>
            </w:pPr>
            <w:r>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7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9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Independent Director</w:t>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22, 2026</w:t>
            </w:r>
          </w:p>
        </w:tc>
      </w:tr>
      <w:tr>
        <w:trPr/>
        <w:tc>
          <w:tcPr>
            <w:tcW w:w="353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Hudson Blake Leogrande</w:t>
            </w:r>
          </w:p>
        </w:tc>
        <w:tc>
          <w:tcPr>
            <w:tcW w:w="2899" w:type="dxa"/>
            <w:gridSpan w:val="9"/>
            <w:vMerge w:val="continue"/>
            <w:tcBorders/>
            <w:tcMar>
              <w:top w:w="0" w:type="dxa"/>
              <w:left w:w="0" w:type="dxa"/>
              <w:bottom w:w="0" w:type="dxa"/>
              <w:right w:w="0" w:type="dxa"/>
            </w:tcMar>
            <w:vAlign w:val="center"/>
          </w:tcPr>
          <w:p>
            <w:pPr>
              <w:pStyle w:val="Normal"/>
              <w:bidi w:val="0"/>
              <w:jc w:val="left"/>
              <w:rPr/>
            </w:pPr>
            <w:r>
              <w:rPr/>
            </w:r>
          </w:p>
        </w:tc>
        <w:tc>
          <w:tcPr>
            <w:tcW w:w="182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4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4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By: /s/ Danny Sheng Wu Yeung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4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Danny Sheng Wu Yeung, Attorney-in-Fact</w:t>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AUTHORIZED REPRESENTATIVE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 of the Securities Act of 1933, the undersigned, solely in his capacity as the duly authorized representative of Prenetics Global Limited, has signed this registration statement in the City of New York, New York, on September 22, 2026.</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Authorized U.S. Representative</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Cogency Global Inc. </w:t>
      </w:r>
    </w:p>
    <w:tbl>
      <w:tblPr>
        <w:tblW w:w="33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53"/>
        <w:gridCol w:w="253"/>
        <w:gridCol w:w="253"/>
        <w:gridCol w:w="253"/>
        <w:gridCol w:w="253"/>
        <w:gridCol w:w="253"/>
        <w:gridCol w:w="253"/>
        <w:gridCol w:w="253"/>
        <w:gridCol w:w="3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Colleen A. De Vries</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Colleen A. De Vries</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Senior Vice President</w:t>
            </w:r>
          </w:p>
        </w:tc>
      </w:tr>
    </w:tbl>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23.2</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drawing>
          <wp:inline distT="0" distB="0" distL="0" distR="0">
            <wp:extent cx="914400" cy="37147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10"/>
                    <a:stretch>
                      <a:fillRect/>
                    </a:stretch>
                  </pic:blipFill>
                  <pic:spPr bwMode="auto">
                    <a:xfrm>
                      <a:off x="0" y="0"/>
                      <a:ext cx="914400" cy="3714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use of our report dated April 30, 2024, except for the effects of discontinued operations of ACT Genomics discussed in note 10, as to which the date is April 30, 2026, with respect to the consolidated financial statements of Prenetics Global Limited, incorporated herein by reference and to the reference to our firm under the heading “Experts” in the prospectus.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KPMG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Hong Kong, China</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September 22,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23.3</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this Registration Statement No. 333-294765 on Pre-effective Amendment No.3 to Form F-1 of our report dated April 30, 2026, relating to the financial statements of Prenetics Global Limited, appearing in the Annual Report on Form 20-F and the Form 20-F/A of Prenetics Global Limited for the year ended December 31, 2025. We also consent to the reference to us under the heading “Experts” in such Registration Statement.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Touche Tohmatsu</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Hong Kong, People's Republic of China</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September 22,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23.4</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Consent of Independent Auditor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this Registration Statement No. 333-294765 on Pre-effective Amendment No.3 to Form F-1 of our report dated July 18, 2025, relating to the financial statements of Insighta Holdings Limited for the year ended December 31, 2024 and the period July 20, 2023 to December 31, 2023, and our report dated July 2, 2026, relating to the financial statements of Insighta Holdings Limited for the year ended December 31, 2025, appearing in the Form 20-F/A of Prenetics Global Limited for the years ended December 31, 2025 and 2024. We also consent to the reference to us under the heading “Experts” in such Registration Statement.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Touche Tohmatsu</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Hong Kong, People's Republic of China</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September 22, 2026</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76431/000162828026022241/formofwarrantagentagreement.htm" TargetMode="External"/><Relationship Id="rId3" Type="http://schemas.openxmlformats.org/officeDocument/2006/relationships/hyperlink" Target="https://www.sec.gov/Archives/edgar/data/1876431/000162828025058673/ex42-preneticsxformofexcha.htm" TargetMode="External"/><Relationship Id="rId4" Type="http://schemas.openxmlformats.org/officeDocument/2006/relationships/hyperlink" Target="https://www.sec.gov/Archives/edgar/data/1876431/000162828026022241/a20260331-preneticscayma.htm" TargetMode="External"/><Relationship Id="rId5" Type="http://schemas.openxmlformats.org/officeDocument/2006/relationships/hyperlink" Target="https://www.sec.gov/Archives/edgar/data/1876431/000162828026022241/formofwarrantexchangeagree.htm" TargetMode="External"/><Relationship Id="rId6" Type="http://schemas.openxmlformats.org/officeDocument/2006/relationships/hyperlink" Target="https://www.sec.gov/Archives/edgar/data/1876431/000162828026022241/a20260331_preneticsopini.htm" TargetMode="External"/><Relationship Id="rId7" Type="http://schemas.openxmlformats.org/officeDocument/2006/relationships/hyperlink" Target="https://www.sec.gov/Archives/edgar/data/1876431/000162828026022241/a_consentletterxdhdraftx.htm" TargetMode="External"/><Relationship Id="rId8" Type="http://schemas.openxmlformats.org/officeDocument/2006/relationships/hyperlink" Target="https://www.sec.gov/Archives/edgar/data/1876431/000162828026054612/abl-consentletter.htm" TargetMode="External"/><Relationship Id="rId9" Type="http://schemas.openxmlformats.org/officeDocument/2006/relationships/hyperlink" Target="https://www.sec.gov/Archives/edgar/data/1876431/000162828026022241/exfilingfees.htm" TargetMode="External"/><Relationship Id="rId10" Type="http://schemas.openxmlformats.org/officeDocument/2006/relationships/image" Target="media/image1.pn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2833</Words>
  <Characters>15251</Characters>
  <CharactersWithSpaces>17961</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