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24123.xml.htm"/>
      <w:bookmarkStart w:id="1" w:name="kswkform4_17834241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Leogrande Hudson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2"/>
        <w:gridCol w:w="771"/>
        <w:gridCol w:w="599"/>
        <w:gridCol w:w="352"/>
        <w:gridCol w:w="899"/>
        <w:gridCol w:w="465"/>
        <w:gridCol w:w="627"/>
        <w:gridCol w:w="118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2,000 Class A Ordinary Shares of the Issuer issued and delivered upon settlement of vested Restricted Stock Units ("RSUs") granted under the Issuer's 2022 Share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granted under the Issuer's 2022 Share Incentive Plan, represents a contingent right to receive one Class A Ordinary Share. The 2,000 RSUs vested on June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Lo, as attorney-in-fact for Hudson Blake Leogrande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128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3536</Characters>
  <CharactersWithSpaces>4125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