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1075055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997585</wp:posOffset>
            </wp:positionV>
            <wp:extent cx="71323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73" w:lineRule="exact"/>
        <w:rPr>
          <w:sz w:val="24"/>
          <w:szCs w:val="24"/>
          <w:color w:val="auto"/>
        </w:rPr>
      </w:pPr>
    </w:p>
    <w:p>
      <w:pPr>
        <w:jc w:val="center"/>
        <w:ind w:right="-1019"/>
        <w:spacing w:after="0"/>
        <w:rPr>
          <w:sz w:val="20"/>
          <w:szCs w:val="20"/>
          <w:color w:val="auto"/>
        </w:rPr>
      </w:pPr>
      <w:r>
        <w:rPr>
          <w:rFonts w:ascii="Times New Roman" w:cs="Times New Roman" w:eastAsia="Times New Roman" w:hAnsi="Times New Roman"/>
          <w:sz w:val="32"/>
          <w:szCs w:val="32"/>
          <w:b w:val="1"/>
          <w:bCs w:val="1"/>
          <w:color w:val="auto"/>
        </w:rPr>
        <w:t>UNITED STATES</w:t>
      </w:r>
    </w:p>
    <w:p>
      <w:pPr>
        <w:jc w:val="center"/>
        <w:ind w:right="-1019"/>
        <w:spacing w:after="0" w:line="215" w:lineRule="auto"/>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2954020</wp:posOffset>
            </wp:positionH>
            <wp:positionV relativeFrom="paragraph">
              <wp:posOffset>107315</wp:posOffset>
            </wp:positionV>
            <wp:extent cx="1234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70" w:lineRule="exact"/>
        <w:rPr>
          <w:sz w:val="24"/>
          <w:szCs w:val="24"/>
          <w:color w:val="auto"/>
        </w:rPr>
      </w:pPr>
    </w:p>
    <w:p>
      <w:pPr>
        <w:jc w:val="center"/>
        <w:ind w:right="-1019"/>
        <w:spacing w:after="0"/>
        <w:rPr>
          <w:sz w:val="20"/>
          <w:szCs w:val="20"/>
          <w:color w:val="auto"/>
        </w:rPr>
      </w:pPr>
      <w:r>
        <w:rPr>
          <w:rFonts w:ascii="Times New Roman" w:cs="Times New Roman" w:eastAsia="Times New Roman" w:hAnsi="Times New Roman"/>
          <w:sz w:val="32"/>
          <w:szCs w:val="32"/>
          <w:b w:val="1"/>
          <w:bCs w:val="1"/>
          <w:color w:val="auto"/>
        </w:rPr>
        <w:t>Amendment No. 1</w:t>
      </w:r>
    </w:p>
    <w:p>
      <w:pPr>
        <w:jc w:val="center"/>
        <w:ind w:right="-1019"/>
        <w:spacing w:after="0" w:line="211" w:lineRule="auto"/>
        <w:rPr>
          <w:sz w:val="20"/>
          <w:szCs w:val="20"/>
          <w:color w:val="auto"/>
        </w:rPr>
      </w:pPr>
      <w:r>
        <w:rPr>
          <w:rFonts w:ascii="Times New Roman" w:cs="Times New Roman" w:eastAsia="Times New Roman" w:hAnsi="Times New Roman"/>
          <w:sz w:val="32"/>
          <w:szCs w:val="32"/>
          <w:b w:val="1"/>
          <w:bCs w:val="1"/>
          <w:color w:val="auto"/>
        </w:rPr>
        <w:t>To</w:t>
      </w:r>
    </w:p>
    <w:p>
      <w:pPr>
        <w:jc w:val="center"/>
        <w:ind w:right="-101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2954020</wp:posOffset>
            </wp:positionH>
            <wp:positionV relativeFrom="paragraph">
              <wp:posOffset>95250</wp:posOffset>
            </wp:positionV>
            <wp:extent cx="12344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60" w:lineRule="exact"/>
        <w:rPr>
          <w:sz w:val="24"/>
          <w:szCs w:val="24"/>
          <w:color w:val="auto"/>
        </w:rPr>
      </w:pPr>
    </w:p>
    <w:p>
      <w:pPr>
        <w:jc w:val="center"/>
        <w:ind w:right="-1019"/>
        <w:spacing w:after="0"/>
        <w:rPr>
          <w:sz w:val="20"/>
          <w:szCs w:val="20"/>
          <w:color w:val="auto"/>
        </w:rPr>
      </w:pPr>
      <w:r>
        <w:rPr>
          <w:rFonts w:ascii="Times New Roman" w:cs="Times New Roman" w:eastAsia="Times New Roman" w:hAnsi="Times New Roman"/>
          <w:sz w:val="22"/>
          <w:szCs w:val="22"/>
          <w:b w:val="1"/>
          <w:bCs w:val="1"/>
          <w:color w:val="auto"/>
        </w:rPr>
        <w:t>REPORT OF FOREIGN PRIVATE ISSUER PURSUANT TO RULE</w:t>
      </w:r>
    </w:p>
    <w:p>
      <w:pPr>
        <w:jc w:val="center"/>
        <w:ind w:right="-1019"/>
        <w:spacing w:after="0" w:line="204" w:lineRule="auto"/>
        <w:rPr>
          <w:sz w:val="20"/>
          <w:szCs w:val="20"/>
          <w:color w:val="auto"/>
        </w:rPr>
      </w:pPr>
      <w:r>
        <w:rPr>
          <w:rFonts w:ascii="Times New Roman" w:cs="Times New Roman" w:eastAsia="Times New Roman" w:hAnsi="Times New Roman"/>
          <w:sz w:val="22"/>
          <w:szCs w:val="22"/>
          <w:b w:val="1"/>
          <w:bCs w:val="1"/>
          <w:color w:val="auto"/>
        </w:rPr>
        <w:t>13a-16 OR 15d-16 UNDER</w:t>
      </w:r>
    </w:p>
    <w:p>
      <w:pPr>
        <w:spacing w:after="0" w:line="1" w:lineRule="exact"/>
        <w:rPr>
          <w:sz w:val="24"/>
          <w:szCs w:val="24"/>
          <w:color w:val="auto"/>
        </w:rPr>
      </w:pPr>
    </w:p>
    <w:p>
      <w:pPr>
        <w:jc w:val="center"/>
        <w:ind w:right="-1019"/>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20" w:lineRule="exact"/>
        <w:rPr>
          <w:sz w:val="24"/>
          <w:szCs w:val="24"/>
          <w:color w:val="auto"/>
        </w:rPr>
      </w:pPr>
    </w:p>
    <w:p>
      <w:pPr>
        <w:jc w:val="center"/>
        <w:ind w:right="-1019"/>
        <w:spacing w:after="0"/>
        <w:rPr>
          <w:sz w:val="20"/>
          <w:szCs w:val="20"/>
          <w:color w:val="auto"/>
        </w:rPr>
      </w:pPr>
      <w:r>
        <w:rPr>
          <w:rFonts w:ascii="Times New Roman" w:cs="Times New Roman" w:eastAsia="Times New Roman" w:hAnsi="Times New Roman"/>
          <w:sz w:val="18"/>
          <w:szCs w:val="18"/>
          <w:b w:val="1"/>
          <w:bCs w:val="1"/>
          <w:color w:val="auto"/>
        </w:rPr>
        <w:t>For the month of June 2025</w:t>
      </w:r>
    </w:p>
    <w:p>
      <w:pPr>
        <w:spacing w:after="0" w:line="158" w:lineRule="exact"/>
        <w:rPr>
          <w:sz w:val="24"/>
          <w:szCs w:val="24"/>
          <w:color w:val="auto"/>
        </w:rPr>
      </w:pPr>
    </w:p>
    <w:p>
      <w:pPr>
        <w:jc w:val="center"/>
        <w:ind w:right="-1019"/>
        <w:spacing w:after="0"/>
        <w:rPr>
          <w:sz w:val="20"/>
          <w:szCs w:val="20"/>
          <w:color w:val="auto"/>
        </w:rPr>
      </w:pPr>
      <w:r>
        <w:rPr>
          <w:rFonts w:ascii="Times New Roman" w:cs="Times New Roman" w:eastAsia="Times New Roman" w:hAnsi="Times New Roman"/>
          <w:sz w:val="18"/>
          <w:szCs w:val="18"/>
          <w:b w:val="1"/>
          <w:bCs w:val="1"/>
          <w:color w:val="auto"/>
        </w:rPr>
        <w:t>Commission File Number 001-41401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2954020</wp:posOffset>
            </wp:positionH>
            <wp:positionV relativeFrom="paragraph">
              <wp:posOffset>122555</wp:posOffset>
            </wp:positionV>
            <wp:extent cx="12344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96"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32"/>
          <w:szCs w:val="32"/>
          <w:b w:val="1"/>
          <w:bCs w:val="1"/>
          <w:color w:val="auto"/>
        </w:rPr>
        <w:t>Prenetics Global Limited</w:t>
      </w:r>
    </w:p>
    <w:p>
      <w:pPr>
        <w:spacing w:after="0" w:line="377" w:lineRule="exact"/>
        <w:rPr>
          <w:sz w:val="24"/>
          <w:szCs w:val="24"/>
          <w:color w:val="auto"/>
        </w:rPr>
      </w:pPr>
    </w:p>
    <w:tbl>
      <w:tblPr>
        <w:tblLayout w:type="fixed"/>
        <w:tblInd w:w="2520" w:type="dxa"/>
        <w:tblCellMar>
          <w:top w:w="0" w:type="dxa"/>
          <w:left w:w="0" w:type="dxa"/>
          <w:bottom w:w="0" w:type="dxa"/>
          <w:right w:w="0" w:type="dxa"/>
        </w:tblCellMar>
      </w:tblPr>
      <w:tr>
        <w:trPr>
          <w:trHeight w:val="207"/>
        </w:trPr>
        <w:tc>
          <w:tcPr>
            <w:tcW w:w="1600" w:type="dxa"/>
            <w:vAlign w:val="bottom"/>
          </w:tcPr>
          <w:p>
            <w:pPr>
              <w:jc w:val="center"/>
              <w:ind w:right="15"/>
              <w:spacing w:after="0"/>
              <w:rPr>
                <w:sz w:val="20"/>
                <w:szCs w:val="20"/>
                <w:color w:val="auto"/>
              </w:rPr>
            </w:pPr>
            <w:r>
              <w:rPr>
                <w:rFonts w:ascii="Times New Roman" w:cs="Times New Roman" w:eastAsia="Times New Roman" w:hAnsi="Times New Roman"/>
                <w:sz w:val="17"/>
                <w:szCs w:val="17"/>
                <w:b w:val="1"/>
                <w:bCs w:val="1"/>
                <w:color w:val="auto"/>
                <w:w w:val="99"/>
              </w:rPr>
              <w:t>11401 Granite St.</w:t>
            </w:r>
          </w:p>
        </w:tc>
        <w:tc>
          <w:tcPr>
            <w:tcW w:w="5080" w:type="dxa"/>
            <w:vAlign w:val="bottom"/>
          </w:tcPr>
          <w:p>
            <w:pPr>
              <w:jc w:val="center"/>
              <w:ind w:left="2710"/>
              <w:spacing w:after="0"/>
              <w:rPr>
                <w:sz w:val="20"/>
                <w:szCs w:val="20"/>
                <w:color w:val="auto"/>
              </w:rPr>
            </w:pPr>
            <w:r>
              <w:rPr>
                <w:rFonts w:ascii="Times New Roman" w:cs="Times New Roman" w:eastAsia="Times New Roman" w:hAnsi="Times New Roman"/>
                <w:sz w:val="18"/>
                <w:szCs w:val="18"/>
                <w:b w:val="1"/>
                <w:bCs w:val="1"/>
                <w:color w:val="auto"/>
                <w:w w:val="99"/>
              </w:rPr>
              <w:t>Unit 703-706, K11 Atelier</w:t>
            </w:r>
          </w:p>
        </w:tc>
      </w:tr>
      <w:tr>
        <w:trPr>
          <w:trHeight w:val="175"/>
        </w:trPr>
        <w:tc>
          <w:tcPr>
            <w:tcW w:w="1600" w:type="dxa"/>
            <w:vAlign w:val="bottom"/>
          </w:tcPr>
          <w:p>
            <w:pPr>
              <w:jc w:val="center"/>
              <w:ind w:right="15"/>
              <w:spacing w:after="0" w:line="176" w:lineRule="exact"/>
              <w:rPr>
                <w:sz w:val="20"/>
                <w:szCs w:val="20"/>
                <w:color w:val="auto"/>
              </w:rPr>
            </w:pPr>
            <w:r>
              <w:rPr>
                <w:rFonts w:ascii="Times New Roman" w:cs="Times New Roman" w:eastAsia="Times New Roman" w:hAnsi="Times New Roman"/>
                <w:sz w:val="17"/>
                <w:szCs w:val="17"/>
                <w:b w:val="1"/>
                <w:bCs w:val="1"/>
                <w:color w:val="auto"/>
              </w:rPr>
              <w:t>Charlotte, NC 28273</w:t>
            </w:r>
          </w:p>
        </w:tc>
        <w:tc>
          <w:tcPr>
            <w:tcW w:w="5080" w:type="dxa"/>
            <w:vAlign w:val="bottom"/>
          </w:tcPr>
          <w:p>
            <w:pPr>
              <w:jc w:val="center"/>
              <w:ind w:left="2710"/>
              <w:spacing w:after="0" w:line="176" w:lineRule="exact"/>
              <w:rPr>
                <w:sz w:val="20"/>
                <w:szCs w:val="20"/>
                <w:color w:val="auto"/>
              </w:rPr>
            </w:pPr>
            <w:r>
              <w:rPr>
                <w:rFonts w:ascii="Times New Roman" w:cs="Times New Roman" w:eastAsia="Times New Roman" w:hAnsi="Times New Roman"/>
                <w:sz w:val="18"/>
                <w:szCs w:val="18"/>
                <w:b w:val="1"/>
                <w:bCs w:val="1"/>
                <w:color w:val="auto"/>
                <w:w w:val="99"/>
              </w:rPr>
              <w:t>728 King’s Road, Quarry Bay</w:t>
            </w:r>
          </w:p>
        </w:tc>
      </w:tr>
      <w:tr>
        <w:trPr>
          <w:trHeight w:val="238"/>
        </w:trPr>
        <w:tc>
          <w:tcPr>
            <w:tcW w:w="1600" w:type="dxa"/>
            <w:vAlign w:val="bottom"/>
          </w:tcPr>
          <w:p>
            <w:pPr>
              <w:jc w:val="center"/>
              <w:ind w:right="15"/>
              <w:spacing w:after="0"/>
              <w:rPr>
                <w:sz w:val="20"/>
                <w:szCs w:val="20"/>
                <w:color w:val="auto"/>
              </w:rPr>
            </w:pPr>
            <w:r>
              <w:rPr>
                <w:rFonts w:ascii="Times New Roman" w:cs="Times New Roman" w:eastAsia="Times New Roman" w:hAnsi="Times New Roman"/>
                <w:sz w:val="17"/>
                <w:szCs w:val="17"/>
                <w:b w:val="1"/>
                <w:bCs w:val="1"/>
                <w:color w:val="auto"/>
                <w:w w:val="99"/>
              </w:rPr>
              <w:t>USA</w:t>
            </w:r>
          </w:p>
        </w:tc>
        <w:tc>
          <w:tcPr>
            <w:tcW w:w="5080" w:type="dxa"/>
            <w:vAlign w:val="bottom"/>
          </w:tcPr>
          <w:p>
            <w:pPr>
              <w:jc w:val="center"/>
              <w:ind w:left="2710"/>
              <w:spacing w:after="0"/>
              <w:rPr>
                <w:sz w:val="20"/>
                <w:szCs w:val="20"/>
                <w:color w:val="auto"/>
              </w:rPr>
            </w:pPr>
            <w:r>
              <w:rPr>
                <w:rFonts w:ascii="Times New Roman" w:cs="Times New Roman" w:eastAsia="Times New Roman" w:hAnsi="Times New Roman"/>
                <w:sz w:val="18"/>
                <w:szCs w:val="18"/>
                <w:b w:val="1"/>
                <w:bCs w:val="1"/>
                <w:color w:val="auto"/>
                <w:w w:val="99"/>
              </w:rPr>
              <w:t>Hong Kong</w:t>
            </w:r>
          </w:p>
        </w:tc>
      </w:tr>
      <w:tr>
        <w:trPr>
          <w:trHeight w:val="531"/>
        </w:trPr>
        <w:tc>
          <w:tcPr>
            <w:tcW w:w="1600" w:type="dxa"/>
            <w:vAlign w:val="bottom"/>
          </w:tcPr>
          <w:p>
            <w:pPr>
              <w:spacing w:after="0"/>
              <w:rPr>
                <w:sz w:val="24"/>
                <w:szCs w:val="24"/>
                <w:color w:val="auto"/>
              </w:rPr>
            </w:pPr>
          </w:p>
        </w:tc>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(Address of principal executive office)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2954020</wp:posOffset>
            </wp:positionH>
            <wp:positionV relativeFrom="paragraph">
              <wp:posOffset>102870</wp:posOffset>
            </wp:positionV>
            <wp:extent cx="1234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9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 Form 20-F Form 40-F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283210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220"/>
          </w:cols>
          <w:pgMar w:left="320" w:top="1440" w:right="1359" w:bottom="1440" w:gutter="0" w:footer="0" w:header="0"/>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Report on Form 6-K (this “Report”), shall be deemed to be incorporated by reference into the registration statements on Form F-3 (File nos. 333-</w:t>
      </w:r>
    </w:p>
    <w:p>
      <w:pPr>
        <w:spacing w:after="0" w:line="2" w:lineRule="exact"/>
        <w:rPr>
          <w:sz w:val="20"/>
          <w:szCs w:val="20"/>
          <w:color w:val="auto"/>
        </w:rPr>
      </w:pPr>
    </w:p>
    <w:p>
      <w:pPr>
        <w:ind w:right="340"/>
        <w:spacing w:after="0" w:line="218" w:lineRule="auto"/>
        <w:rPr>
          <w:sz w:val="20"/>
          <w:szCs w:val="20"/>
          <w:color w:val="auto"/>
        </w:rPr>
      </w:pPr>
      <w:r>
        <w:rPr>
          <w:rFonts w:ascii="Times New Roman" w:cs="Times New Roman" w:eastAsia="Times New Roman" w:hAnsi="Times New Roman"/>
          <w:sz w:val="18"/>
          <w:szCs w:val="18"/>
          <w:color w:val="auto"/>
        </w:rPr>
        <w:t>274762 and 333-276538) and Form S-8 (File Nos. 333-287017, 333-279019, 333-271552 and 333-267956) of Prenetics Global Limited (including any prospectuses forming a part of such registration statements) and to be a part thereof from the date on which this Report is furnished, to the extent not superseded by documents or reports subsequently filed or furnished.</w:t>
      </w:r>
    </w:p>
    <w:p>
      <w:pPr>
        <w:spacing w:after="0" w:line="1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16" w:lineRule="exact"/>
        <w:rPr>
          <w:sz w:val="20"/>
          <w:szCs w:val="20"/>
          <w:color w:val="auto"/>
        </w:rPr>
      </w:pPr>
    </w:p>
    <w:p>
      <w:pPr>
        <w:ind w:right="120"/>
        <w:spacing w:after="0" w:line="237" w:lineRule="auto"/>
        <w:rPr>
          <w:sz w:val="20"/>
          <w:szCs w:val="20"/>
          <w:color w:val="auto"/>
        </w:rPr>
      </w:pPr>
      <w:r>
        <w:rPr>
          <w:rFonts w:ascii="Times New Roman" w:cs="Times New Roman" w:eastAsia="Times New Roman" w:hAnsi="Times New Roman"/>
          <w:sz w:val="18"/>
          <w:szCs w:val="18"/>
          <w:color w:val="auto"/>
        </w:rPr>
        <w:t>On June 12, 2025, Prenetics Global Limited (the “Company”) published a press release reporting the Company’s business and financial updates as well as the unaudited financial results for the first quarter ended March 31, 2025 (the “Press Release”).</w:t>
      </w:r>
    </w:p>
    <w:p>
      <w:pPr>
        <w:spacing w:after="0" w:line="199" w:lineRule="exact"/>
        <w:rPr>
          <w:sz w:val="20"/>
          <w:szCs w:val="20"/>
          <w:color w:val="auto"/>
        </w:rPr>
      </w:pPr>
    </w:p>
    <w:p>
      <w:pPr>
        <w:spacing w:after="0" w:line="216" w:lineRule="auto"/>
        <w:rPr>
          <w:sz w:val="20"/>
          <w:szCs w:val="20"/>
          <w:color w:val="auto"/>
        </w:rPr>
      </w:pPr>
      <w:r>
        <w:rPr>
          <w:rFonts w:ascii="Times New Roman" w:cs="Times New Roman" w:eastAsia="Times New Roman" w:hAnsi="Times New Roman"/>
          <w:sz w:val="18"/>
          <w:szCs w:val="18"/>
          <w:color w:val="auto"/>
        </w:rPr>
        <w:t>This Amendment No. 1 to Form 6-K is to revise the Exhibit 99.1 Press Release to the Form 6-K furnished to the Securities and Exchange Commission earlier today, solely for the purpose of amending certain typos included (i) on page 4, relating to the Unaudited Non-IFRS Financial Measures, where the proper wording should be "adjusted EBITDA" instead of "audited EBITDA", (ii) on pages 1, 4 and 7, the proper wording should be "EBITDA under IFRS"</w:t>
      </w:r>
    </w:p>
    <w:p>
      <w:pPr>
        <w:spacing w:after="0" w:line="1" w:lineRule="exact"/>
        <w:rPr>
          <w:sz w:val="20"/>
          <w:szCs w:val="20"/>
          <w:color w:val="auto"/>
        </w:rPr>
      </w:pPr>
    </w:p>
    <w:p>
      <w:pPr>
        <w:ind w:right="180"/>
        <w:spacing w:after="0" w:line="218" w:lineRule="auto"/>
        <w:rPr>
          <w:sz w:val="20"/>
          <w:szCs w:val="20"/>
          <w:color w:val="auto"/>
        </w:rPr>
      </w:pPr>
      <w:r>
        <w:rPr>
          <w:rFonts w:ascii="Times New Roman" w:cs="Times New Roman" w:eastAsia="Times New Roman" w:hAnsi="Times New Roman"/>
          <w:sz w:val="18"/>
          <w:szCs w:val="18"/>
          <w:color w:val="auto"/>
        </w:rPr>
        <w:t>and "adjusted EBITDA" instead of "EBITDA (non-IFRS)" and "adjusted EBITDA from continuing operations", respectively. Except as described above, this amendment does not amend any other information set forth in the Form 6-K. A copy of the corrected Press Release is being furnished herewith as Exhibit 99.1 and shall replace and supersede the previously furnished Press Release.</w:t>
      </w:r>
    </w:p>
    <w:p>
      <w:pPr>
        <w:spacing w:after="0" w:line="1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DISCLOSURE OF RESULTS OF OPERATIONS</w:t>
      </w:r>
    </w:p>
    <w:p>
      <w:pPr>
        <w:spacing w:after="0" w:line="216" w:lineRule="exact"/>
        <w:rPr>
          <w:sz w:val="20"/>
          <w:szCs w:val="20"/>
          <w:color w:val="auto"/>
        </w:rPr>
      </w:pPr>
    </w:p>
    <w:p>
      <w:pPr>
        <w:ind w:right="80"/>
        <w:spacing w:after="0" w:line="237" w:lineRule="auto"/>
        <w:rPr>
          <w:sz w:val="20"/>
          <w:szCs w:val="20"/>
          <w:color w:val="auto"/>
        </w:rPr>
      </w:pPr>
      <w:r>
        <w:rPr>
          <w:rFonts w:ascii="Times New Roman" w:cs="Times New Roman" w:eastAsia="Times New Roman" w:hAnsi="Times New Roman"/>
          <w:sz w:val="18"/>
          <w:szCs w:val="18"/>
          <w:color w:val="auto"/>
        </w:rPr>
        <w:t>We hereby furnish the United States Securities and Exchange Commission with copies of the following information about our public disclosures regarding our unaudited financial results for the first quarter ended March 31, 2025, along with recent business updates.</w:t>
      </w:r>
    </w:p>
    <w:p>
      <w:pPr>
        <w:spacing w:after="0" w:line="1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Exhibit 99.1 – </w:t>
      </w:r>
      <w:r>
        <w:rPr>
          <w:rFonts w:ascii="Times New Roman" w:cs="Times New Roman" w:eastAsia="Times New Roman" w:hAnsi="Times New Roman"/>
          <w:sz w:val="18"/>
          <w:szCs w:val="18"/>
          <w:u w:val="single" w:color="auto"/>
          <w:color w:val="0000FF"/>
        </w:rPr>
        <w:t>UPDATE - Press release - Prenetics Announces First Quarter 2025 Financial Results</w:t>
      </w:r>
    </w:p>
    <w:p>
      <w:pPr>
        <w:sectPr>
          <w:pgSz w:w="11900" w:h="16838" w:orient="portrait"/>
          <w:cols w:equalWidth="0" w:num="1">
            <w:col w:w="11220"/>
          </w:cols>
          <w:pgMar w:left="320" w:top="1400" w:right="3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2" w:lineRule="exact"/>
        <w:rPr>
          <w:sz w:val="20"/>
          <w:szCs w:val="20"/>
          <w:color w:val="auto"/>
        </w:rPr>
      </w:pPr>
    </w:p>
    <w:p>
      <w:pPr>
        <w:ind w:right="320" w:firstLine="648"/>
        <w:spacing w:after="0" w:line="23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5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b w:val="1"/>
          <w:bCs w:val="1"/>
          <w:color w:val="auto"/>
        </w:rPr>
        <w:t>Prenetics Global Limited</w:t>
      </w:r>
    </w:p>
    <w:p>
      <w:pPr>
        <w:spacing w:after="0" w:line="256" w:lineRule="exact"/>
        <w:rPr>
          <w:sz w:val="20"/>
          <w:szCs w:val="20"/>
          <w:color w:val="auto"/>
        </w:rPr>
      </w:pPr>
    </w:p>
    <w:tbl>
      <w:tblPr>
        <w:tblLayout w:type="fixed"/>
        <w:tblInd w:w="558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Lo Hoi Chun</w:t>
            </w:r>
          </w:p>
        </w:tc>
      </w:tr>
      <w:tr>
        <w:trPr>
          <w:trHeight w:val="21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 Hoi Chun</w:t>
            </w: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June 12, 2025</w:t>
      </w:r>
    </w:p>
    <w:p>
      <w:pPr>
        <w:sectPr>
          <w:pgSz w:w="11900" w:h="16838" w:orient="portrait"/>
          <w:cols w:equalWidth="0" w:num="1">
            <w:col w:w="11240"/>
          </w:cols>
          <w:pgMar w:left="320" w:top="1400" w:right="339" w:bottom="1440" w:gutter="0" w:footer="0" w:header="0"/>
        </w:sectPr>
      </w:pPr>
    </w:p>
    <w:bookmarkStart w:id="3" w:name="page4"/>
    <w:bookmarkEnd w:id="3"/>
    <w:p>
      <w:pPr>
        <w:ind w:right="760"/>
        <w:spacing w:after="0" w:line="275" w:lineRule="auto"/>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525905" cy="6083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525905" cy="608330"/>
                    </a:xfrm>
                    <a:prstGeom prst="rect">
                      <a:avLst/>
                    </a:prstGeom>
                    <a:noFill/>
                  </pic:spPr>
                </pic:pic>
              </a:graphicData>
            </a:graphic>
          </wp:anchor>
        </w:drawing>
        <w:t>UPDATE - Prenetics Announces First Quarter 2025 Financial Results, Raises FY2025 Outlook, &amp; Crypto Strategy Announcement Soon</w:t>
      </w:r>
    </w:p>
    <w:p>
      <w:pPr>
        <w:spacing w:after="0" w:line="154"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Revenue grew 336.5% to $14.4 million from prior year (excluding ACT Genomics</w:t>
      </w:r>
      <w:r>
        <w:rPr>
          <w:rFonts w:ascii="Times New Roman" w:cs="Times New Roman" w:eastAsia="Times New Roman" w:hAnsi="Times New Roman"/>
          <w:sz w:val="23"/>
          <w:szCs w:val="23"/>
          <w:b w:val="1"/>
          <w:bCs w:val="1"/>
          <w:i w:val="1"/>
          <w:iCs w:val="1"/>
          <w:color w:val="auto"/>
          <w:vertAlign w:val="superscript"/>
        </w:rPr>
        <w:t>1</w:t>
      </w:r>
      <w:r>
        <w:rPr>
          <w:rFonts w:ascii="Times New Roman" w:cs="Times New Roman" w:eastAsia="Times New Roman" w:hAnsi="Times New Roman"/>
          <w:sz w:val="18"/>
          <w:szCs w:val="18"/>
          <w:b w:val="1"/>
          <w:bCs w:val="1"/>
          <w:i w:val="1"/>
          <w:iCs w:val="1"/>
          <w:color w:val="auto"/>
        </w:rPr>
        <w:t>)</w:t>
      </w:r>
    </w:p>
    <w:p>
      <w:pPr>
        <w:spacing w:after="0" w:line="184"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Raises full year revenue outlook to $80 - $100 million (excluding the ACT Genomics)</w:t>
      </w:r>
    </w:p>
    <w:p>
      <w:pPr>
        <w:spacing w:after="0" w:line="238" w:lineRule="exact"/>
        <w:rPr>
          <w:rFonts w:ascii="Times New Roman" w:cs="Times New Roman" w:eastAsia="Times New Roman" w:hAnsi="Times New Roman"/>
          <w:sz w:val="18"/>
          <w:szCs w:val="18"/>
          <w:b w:val="1"/>
          <w:bCs w:val="1"/>
          <w:i w:val="1"/>
          <w:iCs w:val="1"/>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IM8 contributed $5.7 million in Q1, with $2.8 million in March alone &amp; provides Q2 revenue projections</w:t>
      </w:r>
    </w:p>
    <w:p>
      <w:pPr>
        <w:spacing w:after="0" w:line="238" w:lineRule="exact"/>
        <w:rPr>
          <w:rFonts w:ascii="Times New Roman" w:cs="Times New Roman" w:eastAsia="Times New Roman" w:hAnsi="Times New Roman"/>
          <w:sz w:val="18"/>
          <w:szCs w:val="18"/>
          <w:b w:val="1"/>
          <w:bCs w:val="1"/>
          <w:i w:val="1"/>
          <w:iCs w:val="1"/>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IM8 has more than 55,000 customers with 4.9 million servings delivered and counting</w:t>
      </w:r>
    </w:p>
    <w:p>
      <w:pPr>
        <w:spacing w:after="0" w:line="238" w:lineRule="exact"/>
        <w:rPr>
          <w:rFonts w:ascii="Times New Roman" w:cs="Times New Roman" w:eastAsia="Times New Roman" w:hAnsi="Times New Roman"/>
          <w:sz w:val="18"/>
          <w:szCs w:val="18"/>
          <w:b w:val="1"/>
          <w:bCs w:val="1"/>
          <w:i w:val="1"/>
          <w:iCs w:val="1"/>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Details of crypto strategy and Bitcoin adoption to be announced soon as part of innovative treasury approach</w:t>
      </w:r>
    </w:p>
    <w:p>
      <w:pPr>
        <w:spacing w:after="0" w:line="333"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CHARLOTTE, N.C., June 12, 2025 – </w:t>
      </w:r>
      <w:r>
        <w:rPr>
          <w:rFonts w:ascii="Times New Roman" w:cs="Times New Roman" w:eastAsia="Times New Roman" w:hAnsi="Times New Roman"/>
          <w:sz w:val="18"/>
          <w:szCs w:val="18"/>
          <w:color w:val="auto"/>
        </w:rPr>
        <w:t>Prenetics Global Limited (NASDAQ: PRE) (“Prenetics” or the “Company”), a leading health sciences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today announced unaudited financial results for the first quarter ended March 31, 2025, along with recent business updates.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2025 Financial Highlights</w:t>
      </w:r>
    </w:p>
    <w:p>
      <w:pPr>
        <w:spacing w:after="0" w:line="15"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Revenue from continuing operations of $17.3 million in the first quarter 2025, an increase of 169.9% as compared to the first quarter 2024.</w:t>
      </w:r>
    </w:p>
    <w:p>
      <w:pPr>
        <w:ind w:left="660" w:hanging="328"/>
        <w:spacing w:after="0" w:line="206" w:lineRule="auto"/>
        <w:tabs>
          <w:tab w:leader="none" w:pos="655" w:val="left"/>
        </w:tabs>
        <w:numPr>
          <w:ilvl w:val="0"/>
          <w:numId w:val="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Revenue from our consumer business</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normalized to exclude ACT Genomics, of $14.4 million in the first quarter 2025, an increase of 336.5% as compared to the first quarter 2024.</w:t>
      </w:r>
    </w:p>
    <w:p>
      <w:pPr>
        <w:ind w:left="660" w:hanging="328"/>
        <w:spacing w:after="0" w:line="234"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from continuing operations of $7.3 million in the first quarter 2025, an increase of 94.1% as compared to the first quarter 2024.</w:t>
      </w:r>
    </w:p>
    <w:p>
      <w:pPr>
        <w:ind w:left="660" w:hanging="328"/>
        <w:spacing w:after="0" w:line="183"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8"/>
          <w:szCs w:val="18"/>
          <w:color w:val="auto"/>
        </w:rPr>
        <w:t xml:space="preserve"> of $(6.5) million in the first quarter 2025, an increase of 59.4% as compared to the first quarter 2024.</w:t>
      </w:r>
    </w:p>
    <w:p>
      <w:pPr>
        <w:ind w:left="660" w:hanging="328"/>
        <w:spacing w:after="0" w:line="234"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from our consumer business, normalized to exclude ACT Genomics, of $(4.8) million in the first quarter 2025, an increase of 123.7% as compared to the first quarter 2024.</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other short-term assets</w:t>
      </w:r>
      <w:r>
        <w:rPr>
          <w:rFonts w:ascii="Times New Roman" w:cs="Times New Roman" w:eastAsia="Times New Roman" w:hAnsi="Times New Roman"/>
          <w:sz w:val="23"/>
          <w:szCs w:val="23"/>
          <w:color w:val="auto"/>
          <w:vertAlign w:val="superscript"/>
        </w:rPr>
        <w:t>4</w:t>
      </w:r>
      <w:r>
        <w:rPr>
          <w:rFonts w:ascii="Times New Roman" w:cs="Times New Roman" w:eastAsia="Times New Roman" w:hAnsi="Times New Roman"/>
          <w:sz w:val="18"/>
          <w:szCs w:val="18"/>
          <w:color w:val="auto"/>
        </w:rPr>
        <w:t xml:space="preserve"> of $78.0 million and the Company remained debt-free as of March 31, 2025.</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Commentary</w:t>
      </w:r>
    </w:p>
    <w:p>
      <w:pPr>
        <w:spacing w:after="0" w:line="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Danny Yeung, Chief Executive Officer and Co-Founder, remarked: “The first quarter of 2025 marked an exceptionally strong start for Prenetics, with financial performance that significantly surpassed expectations and strategic advancements that position us for accelerated growth. We are thrilled to report robust momentum, with revenue increasing by an impressive 336.5% year-over-year to $14.4 million (excluding the ACT Genomics).</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strategic realignment towards the global consumer healthcare market is gaining tremendous traction. This strong start to the year is reflected in our revised full year outlook for the year in which we are raising our revenue expectations from $73 - $85 million to $80 - $100 million, reflecting the accelerating momentum across our business units. Additionally, we expect IM8's second quarter revenue to reach approximately $8.5 million, representing a 50% quarter-over-quarter increase.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17145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100" w:hanging="92"/>
        <w:spacing w:after="0"/>
        <w:tabs>
          <w:tab w:leader="none" w:pos="100" w:val="left"/>
        </w:tabs>
        <w:numPr>
          <w:ilvl w:val="0"/>
          <w:numId w:val="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Represents the diagnostics business of the group.</w:t>
      </w:r>
    </w:p>
    <w:p>
      <w:pPr>
        <w:ind w:left="100" w:hanging="92"/>
        <w:spacing w:after="0" w:line="187" w:lineRule="auto"/>
        <w:tabs>
          <w:tab w:leader="none" w:pos="100" w:val="left"/>
        </w:tabs>
        <w:numPr>
          <w:ilvl w:val="0"/>
          <w:numId w:val="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Represents the prevention and consumer health segments of the group, which include genetic testing services, health and wellness products, and the distribution of sports nutrition products.</w:t>
      </w:r>
    </w:p>
    <w:p>
      <w:pPr>
        <w:spacing w:after="0" w:line="1" w:lineRule="exact"/>
        <w:rPr>
          <w:sz w:val="20"/>
          <w:szCs w:val="20"/>
          <w:color w:val="auto"/>
        </w:rPr>
      </w:pPr>
    </w:p>
    <w:p>
      <w:pPr>
        <w:ind w:left="100" w:hanging="92"/>
        <w:spacing w:after="0"/>
        <w:tabs>
          <w:tab w:leader="none" w:pos="100" w:val="left"/>
        </w:tabs>
        <w:numPr>
          <w:ilvl w:val="0"/>
          <w:numId w:val="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Adjusted EBITDA is a non-IFRS financial measure defined as loss for the period excluding (1) depreciation and amortization, (2) interest income, (3) other finance costs, (4) income tax credit,</w:t>
      </w:r>
    </w:p>
    <w:p>
      <w:pPr>
        <w:spacing w:after="0" w:line="11" w:lineRule="exact"/>
        <w:rPr>
          <w:rFonts w:ascii="Times New Roman" w:cs="Times New Roman" w:eastAsia="Times New Roman" w:hAnsi="Times New Roman"/>
          <w:sz w:val="9"/>
          <w:szCs w:val="9"/>
          <w:color w:val="auto"/>
        </w:rPr>
      </w:pPr>
    </w:p>
    <w:p>
      <w:pPr>
        <w:spacing w:after="0"/>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(5) amortization of deferred expenses, (6) equity-settled share-based payment expenses, (7) acquisition and transaction-related costs, (8) strategic realignment and discontinued products impact,</w:t>
      </w:r>
    </w:p>
    <w:p>
      <w:pPr>
        <w:spacing w:after="0" w:line="14" w:lineRule="exact"/>
        <w:rPr>
          <w:rFonts w:ascii="Times New Roman" w:cs="Times New Roman" w:eastAsia="Times New Roman" w:hAnsi="Times New Roman"/>
          <w:sz w:val="9"/>
          <w:szCs w:val="9"/>
          <w:color w:val="auto"/>
        </w:rPr>
      </w:pPr>
    </w:p>
    <w:p>
      <w:pPr>
        <w:jc w:val="both"/>
        <w:spacing w:after="0" w:line="256" w:lineRule="auto"/>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(9) exchange gain or loss, net, (10) fair value loss on financial assets at fair value through profit or loss, (11) fair value loss/(gain) on warrant liabilities, (12) gain on partial disposal of an equity-accounted investee, (13) share of loss of equity-accounted investees, net of tax, and (14) loss/(profit) from discontinued operation, net of tax. These adjustments are made for items that may not be indicative of our business performance, including non-cash and/or non-recurring items.</w:t>
      </w:r>
    </w:p>
    <w:p>
      <w:pPr>
        <w:spacing w:after="0" w:line="1" w:lineRule="exact"/>
        <w:rPr>
          <w:rFonts w:ascii="Times New Roman" w:cs="Times New Roman" w:eastAsia="Times New Roman" w:hAnsi="Times New Roman"/>
          <w:sz w:val="9"/>
          <w:szCs w:val="9"/>
          <w:color w:val="auto"/>
        </w:rPr>
      </w:pPr>
    </w:p>
    <w:p>
      <w:pPr>
        <w:spacing w:after="0" w:line="258" w:lineRule="auto"/>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 xml:space="preserve">4 </w:t>
      </w:r>
      <w:r>
        <w:rPr>
          <w:rFonts w:ascii="Times New Roman" w:cs="Times New Roman" w:eastAsia="Times New Roman" w:hAnsi="Times New Roman"/>
          <w:sz w:val="14"/>
          <w:szCs w:val="14"/>
          <w:color w:val="auto"/>
        </w:rPr>
        <w:t>Represents current assets, including cash and cash equivalents of $48.0 million, financial assets at fair value through profit or loss of $10.6 million, and trade receivables of $4.5 million,</w:t>
      </w:r>
      <w:r>
        <w:rPr>
          <w:rFonts w:ascii="Times New Roman" w:cs="Times New Roman" w:eastAsia="Times New Roman" w:hAnsi="Times New Roman"/>
          <w:sz w:val="9"/>
          <w:szCs w:val="9"/>
          <w:color w:val="auto"/>
        </w:rPr>
        <w:t xml:space="preserve"> </w:t>
      </w:r>
      <w:r>
        <w:rPr>
          <w:rFonts w:ascii="Times New Roman" w:cs="Times New Roman" w:eastAsia="Times New Roman" w:hAnsi="Times New Roman"/>
          <w:sz w:val="14"/>
          <w:szCs w:val="14"/>
          <w:color w:val="auto"/>
        </w:rPr>
        <w:t>amongst other accounting line items under current assets as of March 31, 2025.</w:t>
      </w:r>
    </w:p>
    <w:p>
      <w:pPr>
        <w:sectPr>
          <w:pgSz w:w="11900" w:h="16838" w:orient="portrait"/>
          <w:cols w:equalWidth="0" w:num="1">
            <w:col w:w="11240"/>
          </w:cols>
          <w:pgMar w:left="320" w:top="1393" w:right="339" w:bottom="1440" w:gutter="0" w:footer="0" w:header="0"/>
        </w:sectPr>
      </w:pPr>
    </w:p>
    <w:bookmarkStart w:id="4" w:name="page5"/>
    <w:bookmarkEnd w:id="4"/>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have made significant progress in our previously announced strategic review of ACT Genomics and anticipate concluding this process shortly. An announcement regarding the strategic decision on our ownership stake in ACT Genomics will be forthcoming.</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With a robust financial foundation of $78 million in cash and short-term assets, we are uniquely positioned to propel continued innovation and growth, particularly within the transformative landscape of healthcare. We are actively pioneering innovative approaches to treasury management and capital allocation, strategically embracing a crypto strategy and Bitcoin adoption. In an era where healthcare demands unprecedented efficiency, security, and global accessibility, we believe forward-thinking companies must leverage digital assets and blockchain technologies to not only optimize shareholder value but also to revolutionize patient care and medical research. Our strong cash position and accelerating business fundamentals empower us with the agility to pursue strategic crypto initiatives that will enhance our competitive positioning in health tech, foster groundbreaking advancements, and drive unparalleled long-term value creation for a healthier future," concluded Mr. Yeung.</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Updates and Strategic Initiatives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IM8 Business Momentum:</w:t>
      </w:r>
    </w:p>
    <w:p>
      <w:pPr>
        <w:spacing w:after="0" w:line="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IM8 has achieved remarkable success in just six months since launch, attracting over 55,000 customers and delivering more than 4.9 million servings of its flagship Daily Ultimate Essentials. Our industry-leading 91% subscription rate and an impressive average order value of US$109 highlight strong customer loyalty and robust growth. With shipping now extended to 31 countries worldwide, IM8 is rapidly expanding its global footprint and demonstrating significant market potential.</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Strategic Crypto Advisory Initiatives:</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Leveraging our strong cash position and robust business fundamentals, management is actively advancing our innovative treasury management approach by evaluating strategic crypto initiatives and Bitcoin adoption. We are in active discussions with leading crypto industry veterans and thought leaders to provide expert guidance on digital asset opportunities, which will significantly enhance our crypto strategy decision-making capabilities and strengthen our market positioning in the evolving digital asset space. This forward-thinking approach to corporate finance aims to optimize capital allocation and drive long-term shareholder value creation.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increasing full-year 2025 revenue guidance to $80 to $100 million from the previously projected $73 to 85 million.</w:t>
      </w:r>
    </w:p>
    <w:p>
      <w:pPr>
        <w:spacing w:after="0" w:line="23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IM8 continues to demonstrate exceptional growth, and with Q1 2025 revenue of $5.7 million, we expect IM8's second quarter revenue to reach approximately $8.5 million, representing growth of 50% quarter-over-quarter.</w:t>
      </w:r>
    </w:p>
    <w:p>
      <w:pPr>
        <w:sectPr>
          <w:pgSz w:w="11900" w:h="16838" w:orient="portrait"/>
          <w:cols w:equalWidth="0" w:num="1">
            <w:col w:w="11240"/>
          </w:cols>
          <w:pgMar w:left="320" w:top="14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About Prenetics</w:t>
      </w:r>
    </w:p>
    <w:p>
      <w:pPr>
        <w:spacing w:after="0" w:line="2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 xml:space="preserve">Prenetics (NASDAQ:PRE), a leading health sciences company, is dedicated to advancing consumer and clinical health. Our consumer initiative is led by IM8, a health and wellness brand and Europa, one of the largest sports distribution companies in the USA. Each of Prenetics’ units synergistically enhances our global impact on health, embodying our commitment to ‘enhancing life through science’. To learn more about Prenetics, please visit </w:t>
      </w:r>
      <w:r>
        <w:rPr>
          <w:rFonts w:ascii="Times New Roman" w:cs="Times New Roman" w:eastAsia="Times New Roman" w:hAnsi="Times New Roman"/>
          <w:sz w:val="18"/>
          <w:szCs w:val="18"/>
          <w:color w:val="0000FF"/>
        </w:rPr>
        <w:t>prenetics.com</w:t>
      </w:r>
      <w:r>
        <w:rPr>
          <w:rFonts w:ascii="Times New Roman" w:cs="Times New Roman" w:eastAsia="Times New Roman" w:hAnsi="Times New Roman"/>
          <w:sz w:val="18"/>
          <w:szCs w:val="18"/>
          <w:color w:val="auto"/>
        </w:rPr>
        <w: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IM8</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IM8 is the pinnacle of premium core nutrition, born from a collaboration between David Beckham as a co-founding partner, and an elite team of scientists spanning medical professionals, academia and space science. Combining cutting-edge science with nature’s most potent ingredients, IM8 delivers a holistic, science-backed approach to health, empowering you to live your most vibrant life. IM8’s flagship product, Daily Ultimate Essentials is an all-in-one powder supplement engineered to replace 16 different supplements in a delicious drink and is NSF Certified for Sport, non-GMO, vegan, free from common allergens, and contains no artificial flavors, colors or sweeteners. IM8 is a subsidiary of Prenetics (NASDAQ: PRE), a leading global health sciences company dedicated to advancing consumer health. To learn more about IM8, please visit </w:t>
      </w:r>
      <w:r>
        <w:rPr>
          <w:rFonts w:ascii="Times New Roman" w:cs="Times New Roman" w:eastAsia="Times New Roman" w:hAnsi="Times New Roman"/>
          <w:sz w:val="18"/>
          <w:szCs w:val="18"/>
          <w:color w:val="0000FF"/>
        </w:rPr>
        <w:t>IM8health.com</w:t>
      </w:r>
      <w:r>
        <w:rPr>
          <w:rFonts w:ascii="Times New Roman" w:cs="Times New Roman" w:eastAsia="Times New Roman" w:hAnsi="Times New Roman"/>
          <w:sz w:val="18"/>
          <w:szCs w:val="18"/>
          <w:color w:val="auto"/>
        </w:rPr>
        <w: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investors@prenetics.com</w:t>
      </w:r>
    </w:p>
    <w:p>
      <w:pPr>
        <w:spacing w:after="0"/>
        <w:rPr>
          <w:sz w:val="20"/>
          <w:szCs w:val="20"/>
          <w:color w:val="auto"/>
        </w:rPr>
      </w:pPr>
      <w:r>
        <w:rPr>
          <w:rFonts w:ascii="Times New Roman" w:cs="Times New Roman" w:eastAsia="Times New Roman" w:hAnsi="Times New Roman"/>
          <w:sz w:val="18"/>
          <w:szCs w:val="18"/>
          <w:color w:val="0000FF"/>
        </w:rPr>
        <w:t>PRE@mzgroup.us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Angela Cheung</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 / Corporate Finance</w:t>
      </w:r>
    </w:p>
    <w:p>
      <w:pPr>
        <w:spacing w:after="0" w:line="234" w:lineRule="auto"/>
        <w:rPr>
          <w:sz w:val="20"/>
          <w:szCs w:val="20"/>
          <w:color w:val="auto"/>
        </w:rPr>
      </w:pPr>
      <w:r>
        <w:rPr>
          <w:rFonts w:ascii="Times New Roman" w:cs="Times New Roman" w:eastAsia="Times New Roman" w:hAnsi="Times New Roman"/>
          <w:sz w:val="18"/>
          <w:szCs w:val="18"/>
          <w:color w:val="auto"/>
        </w:rPr>
        <w:t>Prenetics Global Limited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angela.hm.cheung@prenetics.com</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This press release contains forward-looking statements. These statements are made under the “safe harbor” provisions of the U.S. Private Securities Litigation Reform Act of 1995. Statements that are not historical facts, including statements about the Company's goals, targets, projections, outlooks, beliefs, expectations, strategy, plans, objectives of management for future operations of the Company, and growth opportunities are forward-looking statements. In some cases, forward-looking statements can be identified by words or phrases such as “may,” “will,” “expect,” “anticipate,” “target,” “aim,” “estimate,” “intend,” “plan,” “believe,” “potential,” “continue,” “is/are likely to” or other similar expressions. Forward-looking statements are based upon estimates and forecasts and reflect the views, assumptions, expectations, and opinions of the Company, which involve inherent risks and uncertainties, therefore they should not be relied upon as being necessarily indicative of future results. A number of factors could cause actual results to differ materially from those contained in any forward-looking statement, including but not limited to: the Company’s ability to further develop and grow its business, including new products and services; its ability to execute on its new business strategy in genomics, precision oncology, and specifically, early detection for cancer; the results of case control studies and/or clinical trials; and its ability to identify and execute on M&amp;A opportunities, especially in precision oncology. In addition to the foregoing factors, you should also carefully consider the other risks and uncertainties described in the “Risk Factors” section of the Company’s most recent registration statement and the prospectus therein, and the other documents filed by the Company from time to time with the U.S. Securities and Exchange Commission. All information provided in this press release is as of the date of this press release, and the Company does not undertake any duty to update such information, except as required under applicable law.</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Non-IFRS Financial Measure has been provided in the financial statements tables included at the end of this press release. An explanation of this measure is also included below under the heading “Non-IFRS Financial Measure”.</w:t>
      </w:r>
    </w:p>
    <w:p>
      <w:pPr>
        <w:sectPr>
          <w:pgSz w:w="11900" w:h="16838" w:orient="portrait"/>
          <w:cols w:equalWidth="0" w:num="1">
            <w:col w:w="11240"/>
          </w:cols>
          <w:pgMar w:left="320" w:top="140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Unaudited Non-IFRS Financial Measures</w:t>
      </w:r>
    </w:p>
    <w:p>
      <w:pPr>
        <w:spacing w:after="0" w:line="2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To supplement Prenetics’ consolidated financial statements prepared in accordance with International Financial Reporting Standards (“IFRS”), the Company is providing non-IFRS measure, adjusted EBITDA, total revenue from continuing operations, normalized to exclude ACT Genomics and total adjusted EBITDA, normalized to exclude ACT Genomics. This non-IFRS financial measure is not based on any standardized methodology prescribed by IFRS and are not necessarily comparable to similarly-titled measures presented by other companies. Management believes this non-IFRS financial measure is useful to investors in evaluating the Company’s ongoing operating results and trends.</w:t>
      </w:r>
    </w:p>
    <w:p>
      <w:pPr>
        <w:spacing w:after="0" w:line="21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Management derived the adjusted EBITDA (non-IFRS financial measure) from loss for the period by excluding (1) depreciation and amortization, (2) interest income, (3) other finance costs, (4) income tax credit, (5) amortization of deferred expenses, (6) equity-settled share-based payment expenses, (7) acquisition and transaction-related costs, (8) strategic realignment and discontinued products impact, (9) exchange gain or loss, net, (10) fair value loss on financial assets at fair value through profit or loss, (11) fair value loss/(gain) on warrant liabilities, (12) gain on partial disposal of an equity-accounted investee, (13) share of loss of equity-accounted investees, net of tax, and and (14) loss/(profit) from discontinued operation, net of tax — items that may not be indicative of our business, results of operations, or outlook, including but not limited to non-cash and/ or non-recurring items. These non-IFRS financial measures are limited in value because they exclude certain items that may have a material impact on the reported financial results. Management accounts for this limitation by analyzing results on an IFRS basis as well as a non-IFRS basis and also by providing IFRS measures in the Company’s public disclosures.</w:t>
      </w:r>
    </w:p>
    <w:p>
      <w:pPr>
        <w:spacing w:after="0" w:line="21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In addition, other companies, including companies in the same industry, may not use the same non-IFRS measures or may calculate these metrics in a different manner than management or may use other financial measures to evaluate their performance, all of which could reduce the usefulness of these non-IFRS measures as comparative measures. Because of these limitations, the Company’s non-IFRS financial measures should not be considered in isolation from, or as a substitute for, financial information prepared in accordance with IFRS. Investors are encouraged to review the non-IFRS reconciliations provided in the tables captioned “Reconciliation of loss for the period under IFRS and adjusted EBITDA (Non-IFRS)”, “Total Revenue from continuing operations, Normalized to exclude ACT Genomics” and “Total adjusted EBITDA, Normalized to exclude ACT Genomics” set forth at the end of this document.</w:t>
      </w:r>
    </w:p>
    <w:p>
      <w:pPr>
        <w:sectPr>
          <w:pgSz w:w="11900" w:h="16838" w:orient="portrait"/>
          <w:cols w:equalWidth="0" w:num="1">
            <w:col w:w="11240"/>
          </w:cols>
          <w:pgMar w:left="320" w:top="140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PRENETICS GLOBAL LIMITED</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financial position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 amounts in thousands of U.S. dollars (“$”))</w:t>
      </w:r>
    </w:p>
    <w:p>
      <w:pPr>
        <w:spacing w:after="0" w:line="263" w:lineRule="exact"/>
        <w:rPr>
          <w:sz w:val="20"/>
          <w:szCs w:val="20"/>
          <w:color w:val="auto"/>
        </w:rPr>
      </w:pPr>
    </w:p>
    <w:tbl>
      <w:tblPr>
        <w:tblLayout w:type="fixed"/>
        <w:tblInd w:w="660" w:type="dxa"/>
        <w:tblCellMar>
          <w:top w:w="0" w:type="dxa"/>
          <w:left w:w="0" w:type="dxa"/>
          <w:bottom w:w="0" w:type="dxa"/>
          <w:right w:w="0" w:type="dxa"/>
        </w:tblCellMar>
      </w:tblPr>
      <w:tr>
        <w:trPr>
          <w:trHeight w:val="212"/>
        </w:trPr>
        <w:tc>
          <w:tcPr>
            <w:tcW w:w="6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9"/>
        </w:trPr>
        <w:tc>
          <w:tcPr>
            <w:tcW w:w="666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2025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2024</w:t>
            </w:r>
          </w:p>
        </w:tc>
        <w:tc>
          <w:tcPr>
            <w:tcW w:w="0" w:type="dxa"/>
            <w:vAlign w:val="bottom"/>
          </w:tcPr>
          <w:p>
            <w:pPr>
              <w:spacing w:after="0"/>
              <w:rPr>
                <w:sz w:val="1"/>
                <w:szCs w:val="1"/>
                <w:color w:val="auto"/>
              </w:rPr>
            </w:pPr>
          </w:p>
        </w:tc>
      </w:tr>
      <w:tr>
        <w:trPr>
          <w:trHeight w:val="199"/>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4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7,073</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7,811</w:t>
            </w:r>
          </w:p>
        </w:tc>
        <w:tc>
          <w:tcPr>
            <w:tcW w:w="0" w:type="dxa"/>
            <w:vAlign w:val="bottom"/>
          </w:tcPr>
          <w:p>
            <w:pPr>
              <w:spacing w:after="0"/>
              <w:rPr>
                <w:sz w:val="1"/>
                <w:szCs w:val="1"/>
                <w:color w:val="auto"/>
              </w:rPr>
            </w:pPr>
          </w:p>
        </w:tc>
      </w:tr>
      <w:tr>
        <w:trPr>
          <w:trHeight w:val="219"/>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w:t>
            </w:r>
          </w:p>
        </w:tc>
        <w:tc>
          <w:tcPr>
            <w:tcW w:w="4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11,333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11,574</w:t>
            </w:r>
          </w:p>
        </w:tc>
        <w:tc>
          <w:tcPr>
            <w:tcW w:w="0" w:type="dxa"/>
            <w:vAlign w:val="bottom"/>
          </w:tcPr>
          <w:p>
            <w:pPr>
              <w:spacing w:after="0"/>
              <w:rPr>
                <w:sz w:val="1"/>
                <w:szCs w:val="1"/>
                <w:color w:val="auto"/>
              </w:rPr>
            </w:pPr>
          </w:p>
        </w:tc>
      </w:tr>
      <w:tr>
        <w:trPr>
          <w:trHeight w:val="213"/>
        </w:trPr>
        <w:tc>
          <w:tcPr>
            <w:tcW w:w="6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4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37,364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37,364</w:t>
            </w:r>
          </w:p>
        </w:tc>
        <w:tc>
          <w:tcPr>
            <w:tcW w:w="0" w:type="dxa"/>
            <w:vAlign w:val="bottom"/>
          </w:tcPr>
          <w:p>
            <w:pPr>
              <w:spacing w:after="0"/>
              <w:rPr>
                <w:sz w:val="1"/>
                <w:szCs w:val="1"/>
                <w:color w:val="auto"/>
              </w:rPr>
            </w:pPr>
          </w:p>
        </w:tc>
      </w:tr>
      <w:tr>
        <w:trPr>
          <w:trHeight w:val="219"/>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Interests in equity-accounted investees</w:t>
            </w:r>
          </w:p>
        </w:tc>
        <w:tc>
          <w:tcPr>
            <w:tcW w:w="4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67,884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68,223</w:t>
            </w:r>
          </w:p>
        </w:tc>
        <w:tc>
          <w:tcPr>
            <w:tcW w:w="0" w:type="dxa"/>
            <w:vAlign w:val="bottom"/>
          </w:tcPr>
          <w:p>
            <w:pPr>
              <w:spacing w:after="0"/>
              <w:rPr>
                <w:sz w:val="1"/>
                <w:szCs w:val="1"/>
                <w:color w:val="auto"/>
              </w:rPr>
            </w:pPr>
          </w:p>
        </w:tc>
      </w:tr>
      <w:tr>
        <w:trPr>
          <w:trHeight w:val="213"/>
        </w:trPr>
        <w:tc>
          <w:tcPr>
            <w:tcW w:w="6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Financial assets at fair value through profit or loss - non-current</w:t>
            </w:r>
          </w:p>
        </w:tc>
        <w:tc>
          <w:tcPr>
            <w:tcW w:w="4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1,103</w:t>
            </w:r>
          </w:p>
        </w:tc>
        <w:tc>
          <w:tcPr>
            <w:tcW w:w="0" w:type="dxa"/>
            <w:vAlign w:val="bottom"/>
          </w:tcPr>
          <w:p>
            <w:pPr>
              <w:spacing w:after="0"/>
              <w:rPr>
                <w:sz w:val="1"/>
                <w:szCs w:val="1"/>
                <w:color w:val="auto"/>
              </w:rPr>
            </w:pPr>
          </w:p>
        </w:tc>
      </w:tr>
      <w:tr>
        <w:trPr>
          <w:trHeight w:val="219"/>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non-current assets</w:t>
            </w:r>
          </w:p>
        </w:tc>
        <w:tc>
          <w:tcPr>
            <w:tcW w:w="4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1,352</w:t>
            </w:r>
          </w:p>
        </w:tc>
        <w:tc>
          <w:tcPr>
            <w:tcW w:w="0" w:type="dxa"/>
            <w:vAlign w:val="bottom"/>
          </w:tcPr>
          <w:p>
            <w:pPr>
              <w:spacing w:after="0"/>
              <w:rPr>
                <w:sz w:val="1"/>
                <w:szCs w:val="1"/>
                <w:color w:val="auto"/>
              </w:rPr>
            </w:pPr>
          </w:p>
        </w:tc>
      </w:tr>
      <w:tr>
        <w:trPr>
          <w:trHeight w:val="207"/>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Non-current assets</w:t>
            </w:r>
          </w:p>
        </w:tc>
        <w:tc>
          <w:tcPr>
            <w:tcW w:w="4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125,991</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127,427</w:t>
            </w:r>
          </w:p>
        </w:tc>
        <w:tc>
          <w:tcPr>
            <w:tcW w:w="0" w:type="dxa"/>
            <w:vAlign w:val="bottom"/>
          </w:tcPr>
          <w:p>
            <w:pPr>
              <w:spacing w:after="0"/>
              <w:rPr>
                <w:sz w:val="1"/>
                <w:szCs w:val="1"/>
                <w:color w:val="auto"/>
              </w:rPr>
            </w:pPr>
          </w:p>
        </w:tc>
      </w:tr>
      <w:tr>
        <w:trPr>
          <w:trHeight w:val="212"/>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expenses - current</w:t>
            </w: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3,549</w:t>
            </w:r>
          </w:p>
        </w:tc>
        <w:tc>
          <w:tcPr>
            <w:tcW w:w="0" w:type="dxa"/>
            <w:vAlign w:val="bottom"/>
          </w:tcPr>
          <w:p>
            <w:pPr>
              <w:spacing w:after="0"/>
              <w:rPr>
                <w:sz w:val="1"/>
                <w:szCs w:val="1"/>
                <w:color w:val="auto"/>
              </w:rPr>
            </w:pPr>
          </w:p>
        </w:tc>
      </w:tr>
      <w:tr>
        <w:trPr>
          <w:trHeight w:val="213"/>
        </w:trPr>
        <w:tc>
          <w:tcPr>
            <w:tcW w:w="6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Inventories</w:t>
            </w:r>
          </w:p>
        </w:tc>
        <w:tc>
          <w:tcPr>
            <w:tcW w:w="4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6,610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6,566</w:t>
            </w:r>
          </w:p>
        </w:tc>
        <w:tc>
          <w:tcPr>
            <w:tcW w:w="0" w:type="dxa"/>
            <w:vAlign w:val="bottom"/>
          </w:tcPr>
          <w:p>
            <w:pPr>
              <w:spacing w:after="0"/>
              <w:rPr>
                <w:sz w:val="1"/>
                <w:szCs w:val="1"/>
                <w:color w:val="auto"/>
              </w:rPr>
            </w:pPr>
          </w:p>
        </w:tc>
      </w:tr>
      <w:tr>
        <w:trPr>
          <w:trHeight w:val="219"/>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 receivables</w:t>
            </w:r>
          </w:p>
        </w:tc>
        <w:tc>
          <w:tcPr>
            <w:tcW w:w="4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5,242</w:t>
            </w:r>
          </w:p>
        </w:tc>
        <w:tc>
          <w:tcPr>
            <w:tcW w:w="0" w:type="dxa"/>
            <w:vAlign w:val="bottom"/>
          </w:tcPr>
          <w:p>
            <w:pPr>
              <w:spacing w:after="0"/>
              <w:rPr>
                <w:sz w:val="1"/>
                <w:szCs w:val="1"/>
                <w:color w:val="auto"/>
              </w:rPr>
            </w:pPr>
          </w:p>
        </w:tc>
      </w:tr>
      <w:tr>
        <w:trPr>
          <w:trHeight w:val="213"/>
        </w:trPr>
        <w:tc>
          <w:tcPr>
            <w:tcW w:w="6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Deposits, prepayments and other receivables</w:t>
            </w:r>
          </w:p>
        </w:tc>
        <w:tc>
          <w:tcPr>
            <w:tcW w:w="4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6,929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7,975</w:t>
            </w:r>
          </w:p>
        </w:tc>
        <w:tc>
          <w:tcPr>
            <w:tcW w:w="0" w:type="dxa"/>
            <w:vAlign w:val="bottom"/>
          </w:tcPr>
          <w:p>
            <w:pPr>
              <w:spacing w:after="0"/>
              <w:rPr>
                <w:sz w:val="1"/>
                <w:szCs w:val="1"/>
                <w:color w:val="auto"/>
              </w:rPr>
            </w:pPr>
          </w:p>
        </w:tc>
      </w:tr>
      <w:tr>
        <w:trPr>
          <w:trHeight w:val="219"/>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Amount due from a related company</w:t>
            </w:r>
          </w:p>
        </w:tc>
        <w:tc>
          <w:tcPr>
            <w:tcW w:w="4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3"/>
        </w:trPr>
        <w:tc>
          <w:tcPr>
            <w:tcW w:w="6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Financial assets at fair value through profit or loss - current</w:t>
            </w:r>
          </w:p>
        </w:tc>
        <w:tc>
          <w:tcPr>
            <w:tcW w:w="4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10,562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10,562</w:t>
            </w:r>
          </w:p>
        </w:tc>
        <w:tc>
          <w:tcPr>
            <w:tcW w:w="0" w:type="dxa"/>
            <w:vAlign w:val="bottom"/>
          </w:tcPr>
          <w:p>
            <w:pPr>
              <w:spacing w:after="0"/>
              <w:rPr>
                <w:sz w:val="1"/>
                <w:szCs w:val="1"/>
                <w:color w:val="auto"/>
              </w:rPr>
            </w:pPr>
          </w:p>
        </w:tc>
      </w:tr>
      <w:tr>
        <w:trPr>
          <w:trHeight w:val="219"/>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4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47,966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52,251</w:t>
            </w:r>
          </w:p>
        </w:tc>
        <w:tc>
          <w:tcPr>
            <w:tcW w:w="0" w:type="dxa"/>
            <w:vAlign w:val="bottom"/>
          </w:tcPr>
          <w:p>
            <w:pPr>
              <w:spacing w:after="0"/>
              <w:rPr>
                <w:sz w:val="1"/>
                <w:szCs w:val="1"/>
                <w:color w:val="auto"/>
              </w:rPr>
            </w:pPr>
          </w:p>
        </w:tc>
      </w:tr>
      <w:tr>
        <w:trPr>
          <w:trHeight w:val="207"/>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4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78,024</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86,148</w:t>
            </w:r>
          </w:p>
        </w:tc>
        <w:tc>
          <w:tcPr>
            <w:tcW w:w="0" w:type="dxa"/>
            <w:vAlign w:val="bottom"/>
          </w:tcPr>
          <w:p>
            <w:pPr>
              <w:spacing w:after="0"/>
              <w:rPr>
                <w:sz w:val="1"/>
                <w:szCs w:val="1"/>
                <w:color w:val="auto"/>
              </w:rPr>
            </w:pPr>
          </w:p>
        </w:tc>
      </w:tr>
      <w:tr>
        <w:trPr>
          <w:trHeight w:val="237"/>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204,015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213,575</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666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liabilities</w:t>
            </w: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2,165</w:t>
            </w:r>
          </w:p>
        </w:tc>
        <w:tc>
          <w:tcPr>
            <w:tcW w:w="0" w:type="dxa"/>
            <w:vAlign w:val="bottom"/>
          </w:tcPr>
          <w:p>
            <w:pPr>
              <w:spacing w:after="0"/>
              <w:rPr>
                <w:sz w:val="1"/>
                <w:szCs w:val="1"/>
                <w:color w:val="auto"/>
              </w:rPr>
            </w:pPr>
          </w:p>
        </w:tc>
      </w:tr>
      <w:tr>
        <w:trPr>
          <w:trHeight w:val="213"/>
        </w:trPr>
        <w:tc>
          <w:tcPr>
            <w:tcW w:w="6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Warrant liabilities</w:t>
            </w:r>
          </w:p>
        </w:tc>
        <w:tc>
          <w:tcPr>
            <w:tcW w:w="4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0" w:type="dxa"/>
            <w:vAlign w:val="bottom"/>
          </w:tcPr>
          <w:p>
            <w:pPr>
              <w:spacing w:after="0"/>
              <w:rPr>
                <w:sz w:val="1"/>
                <w:szCs w:val="1"/>
                <w:color w:val="auto"/>
              </w:rPr>
            </w:pPr>
          </w:p>
        </w:tc>
      </w:tr>
      <w:tr>
        <w:trPr>
          <w:trHeight w:val="219"/>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 liabilities - non-current</w:t>
            </w:r>
          </w:p>
        </w:tc>
        <w:tc>
          <w:tcPr>
            <w:tcW w:w="4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3,014</w:t>
            </w:r>
          </w:p>
        </w:tc>
        <w:tc>
          <w:tcPr>
            <w:tcW w:w="0" w:type="dxa"/>
            <w:vAlign w:val="bottom"/>
          </w:tcPr>
          <w:p>
            <w:pPr>
              <w:spacing w:after="0"/>
              <w:rPr>
                <w:sz w:val="1"/>
                <w:szCs w:val="1"/>
                <w:color w:val="auto"/>
              </w:rPr>
            </w:pPr>
          </w:p>
        </w:tc>
      </w:tr>
      <w:tr>
        <w:trPr>
          <w:trHeight w:val="213"/>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4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324</w:t>
            </w:r>
          </w:p>
        </w:tc>
        <w:tc>
          <w:tcPr>
            <w:tcW w:w="0" w:type="dxa"/>
            <w:vAlign w:val="bottom"/>
          </w:tcPr>
          <w:p>
            <w:pPr>
              <w:spacing w:after="0"/>
              <w:rPr>
                <w:sz w:val="1"/>
                <w:szCs w:val="1"/>
                <w:color w:val="auto"/>
              </w:rPr>
            </w:pPr>
          </w:p>
        </w:tc>
      </w:tr>
      <w:tr>
        <w:trPr>
          <w:trHeight w:val="212"/>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Non-current liabilities</w:t>
            </w:r>
          </w:p>
        </w:tc>
        <w:tc>
          <w:tcPr>
            <w:tcW w:w="4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5,203</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5,678</w:t>
            </w:r>
          </w:p>
        </w:tc>
        <w:tc>
          <w:tcPr>
            <w:tcW w:w="0" w:type="dxa"/>
            <w:vAlign w:val="bottom"/>
          </w:tcPr>
          <w:p>
            <w:pPr>
              <w:spacing w:after="0"/>
              <w:rPr>
                <w:sz w:val="1"/>
                <w:szCs w:val="1"/>
                <w:color w:val="auto"/>
              </w:rPr>
            </w:pPr>
          </w:p>
        </w:tc>
      </w:tr>
      <w:tr>
        <w:trPr>
          <w:trHeight w:val="207"/>
        </w:trPr>
        <w:tc>
          <w:tcPr>
            <w:tcW w:w="6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Trade payables</w:t>
            </w:r>
          </w:p>
        </w:tc>
        <w:tc>
          <w:tcPr>
            <w:tcW w:w="4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3,668</w:t>
            </w:r>
          </w:p>
        </w:tc>
        <w:tc>
          <w:tcPr>
            <w:tcW w:w="0" w:type="dxa"/>
            <w:vAlign w:val="bottom"/>
          </w:tcPr>
          <w:p>
            <w:pPr>
              <w:spacing w:after="0"/>
              <w:rPr>
                <w:sz w:val="1"/>
                <w:szCs w:val="1"/>
                <w:color w:val="auto"/>
              </w:rPr>
            </w:pPr>
          </w:p>
        </w:tc>
      </w:tr>
      <w:tr>
        <w:trPr>
          <w:trHeight w:val="219"/>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4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10,231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9,312</w:t>
            </w:r>
          </w:p>
        </w:tc>
        <w:tc>
          <w:tcPr>
            <w:tcW w:w="0" w:type="dxa"/>
            <w:vAlign w:val="bottom"/>
          </w:tcPr>
          <w:p>
            <w:pPr>
              <w:spacing w:after="0"/>
              <w:rPr>
                <w:sz w:val="1"/>
                <w:szCs w:val="1"/>
                <w:color w:val="auto"/>
              </w:rPr>
            </w:pPr>
          </w:p>
        </w:tc>
      </w:tr>
      <w:tr>
        <w:trPr>
          <w:trHeight w:val="213"/>
        </w:trPr>
        <w:tc>
          <w:tcPr>
            <w:tcW w:w="6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Contract liabilities</w:t>
            </w:r>
          </w:p>
        </w:tc>
        <w:tc>
          <w:tcPr>
            <w:tcW w:w="4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6,191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6,491</w:t>
            </w:r>
          </w:p>
        </w:tc>
        <w:tc>
          <w:tcPr>
            <w:tcW w:w="0" w:type="dxa"/>
            <w:vAlign w:val="bottom"/>
          </w:tcPr>
          <w:p>
            <w:pPr>
              <w:spacing w:after="0"/>
              <w:rPr>
                <w:sz w:val="1"/>
                <w:szCs w:val="1"/>
                <w:color w:val="auto"/>
              </w:rPr>
            </w:pPr>
          </w:p>
        </w:tc>
      </w:tr>
      <w:tr>
        <w:trPr>
          <w:trHeight w:val="219"/>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 liabilities - current</w:t>
            </w:r>
          </w:p>
        </w:tc>
        <w:tc>
          <w:tcPr>
            <w:tcW w:w="4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2,758</w:t>
            </w:r>
          </w:p>
        </w:tc>
        <w:tc>
          <w:tcPr>
            <w:tcW w:w="0" w:type="dxa"/>
            <w:vAlign w:val="bottom"/>
          </w:tcPr>
          <w:p>
            <w:pPr>
              <w:spacing w:after="0"/>
              <w:rPr>
                <w:sz w:val="1"/>
                <w:szCs w:val="1"/>
                <w:color w:val="auto"/>
              </w:rPr>
            </w:pPr>
          </w:p>
        </w:tc>
      </w:tr>
      <w:tr>
        <w:trPr>
          <w:trHeight w:val="216"/>
        </w:trPr>
        <w:tc>
          <w:tcPr>
            <w:tcW w:w="666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Liabilities for puttable financial instrument</w:t>
            </w:r>
            <w:r>
              <w:rPr>
                <w:rFonts w:ascii="Times New Roman" w:cs="Times New Roman" w:eastAsia="Times New Roman" w:hAnsi="Times New Roman"/>
                <w:sz w:val="21"/>
                <w:szCs w:val="21"/>
                <w:b w:val="1"/>
                <w:bCs w:val="1"/>
                <w:color w:val="auto"/>
                <w:vertAlign w:val="superscript"/>
              </w:rPr>
              <w:t>5</w:t>
            </w:r>
          </w:p>
        </w:tc>
        <w:tc>
          <w:tcPr>
            <w:tcW w:w="4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14,520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14,309</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 payable</w:t>
            </w:r>
          </w:p>
        </w:tc>
        <w:tc>
          <w:tcPr>
            <w:tcW w:w="4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07"/>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4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37,696</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36,551</w:t>
            </w:r>
          </w:p>
        </w:tc>
        <w:tc>
          <w:tcPr>
            <w:tcW w:w="0" w:type="dxa"/>
            <w:vAlign w:val="bottom"/>
          </w:tcPr>
          <w:p>
            <w:pPr>
              <w:spacing w:after="0"/>
              <w:rPr>
                <w:sz w:val="1"/>
                <w:szCs w:val="1"/>
                <w:color w:val="auto"/>
              </w:rPr>
            </w:pPr>
          </w:p>
        </w:tc>
      </w:tr>
      <w:tr>
        <w:trPr>
          <w:trHeight w:val="212"/>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4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42,899</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42,229</w:t>
            </w:r>
          </w:p>
        </w:tc>
        <w:tc>
          <w:tcPr>
            <w:tcW w:w="0" w:type="dxa"/>
            <w:vAlign w:val="bottom"/>
          </w:tcPr>
          <w:p>
            <w:pPr>
              <w:spacing w:after="0"/>
              <w:rPr>
                <w:sz w:val="1"/>
                <w:szCs w:val="1"/>
                <w:color w:val="auto"/>
              </w:rPr>
            </w:pPr>
          </w:p>
        </w:tc>
      </w:tr>
      <w:tr>
        <w:trPr>
          <w:trHeight w:val="194"/>
        </w:trPr>
        <w:tc>
          <w:tcPr>
            <w:tcW w:w="66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4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 capital</w:t>
            </w: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13"/>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Reserves</w:t>
            </w:r>
          </w:p>
        </w:tc>
        <w:tc>
          <w:tcPr>
            <w:tcW w:w="4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160,862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170,370</w:t>
            </w:r>
          </w:p>
        </w:tc>
        <w:tc>
          <w:tcPr>
            <w:tcW w:w="0" w:type="dxa"/>
            <w:vAlign w:val="bottom"/>
          </w:tcPr>
          <w:p>
            <w:pPr>
              <w:spacing w:after="0"/>
              <w:rPr>
                <w:sz w:val="1"/>
                <w:szCs w:val="1"/>
                <w:color w:val="auto"/>
              </w:rPr>
            </w:pPr>
          </w:p>
        </w:tc>
      </w:tr>
      <w:tr>
        <w:trPr>
          <w:trHeight w:val="212"/>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equity attributable to equity shareholders of the Company</w:t>
            </w: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160,882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170,389</w:t>
            </w:r>
          </w:p>
        </w:tc>
        <w:tc>
          <w:tcPr>
            <w:tcW w:w="0" w:type="dxa"/>
            <w:vAlign w:val="bottom"/>
          </w:tcPr>
          <w:p>
            <w:pPr>
              <w:spacing w:after="0"/>
              <w:rPr>
                <w:sz w:val="1"/>
                <w:szCs w:val="1"/>
                <w:color w:val="auto"/>
              </w:rPr>
            </w:pPr>
          </w:p>
        </w:tc>
      </w:tr>
      <w:tr>
        <w:trPr>
          <w:trHeight w:val="213"/>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Non-controlling interests</w:t>
            </w:r>
          </w:p>
        </w:tc>
        <w:tc>
          <w:tcPr>
            <w:tcW w:w="4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957</w:t>
            </w:r>
          </w:p>
        </w:tc>
        <w:tc>
          <w:tcPr>
            <w:tcW w:w="0" w:type="dxa"/>
            <w:vAlign w:val="bottom"/>
          </w:tcPr>
          <w:p>
            <w:pPr>
              <w:spacing w:after="0"/>
              <w:rPr>
                <w:sz w:val="1"/>
                <w:szCs w:val="1"/>
                <w:color w:val="auto"/>
              </w:rPr>
            </w:pPr>
          </w:p>
        </w:tc>
      </w:tr>
      <w:tr>
        <w:trPr>
          <w:trHeight w:val="210"/>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equity</w:t>
            </w:r>
          </w:p>
        </w:tc>
        <w:tc>
          <w:tcPr>
            <w:tcW w:w="4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161,116</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171,346</w:t>
            </w:r>
          </w:p>
        </w:tc>
        <w:tc>
          <w:tcPr>
            <w:tcW w:w="0" w:type="dxa"/>
            <w:vAlign w:val="bottom"/>
          </w:tcPr>
          <w:p>
            <w:pPr>
              <w:spacing w:after="0"/>
              <w:rPr>
                <w:sz w:val="1"/>
                <w:szCs w:val="1"/>
                <w:color w:val="auto"/>
              </w:rPr>
            </w:pPr>
          </w:p>
        </w:tc>
      </w:tr>
      <w:tr>
        <w:trPr>
          <w:trHeight w:val="212"/>
        </w:trPr>
        <w:tc>
          <w:tcPr>
            <w:tcW w:w="66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equity and liabilities</w:t>
            </w:r>
          </w:p>
        </w:tc>
        <w:tc>
          <w:tcPr>
            <w:tcW w:w="4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204,015</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213,575</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0580"/>
          </w:cols>
          <w:pgMar w:left="320" w:top="1400" w:right="9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PRENETICS GLOBAL LIMITED</w:t>
      </w:r>
    </w:p>
    <w:p>
      <w:pPr>
        <w:spacing w:after="0" w:line="31" w:lineRule="exact"/>
        <w:rPr>
          <w:sz w:val="20"/>
          <w:szCs w:val="20"/>
          <w:color w:val="auto"/>
        </w:rPr>
      </w:pPr>
    </w:p>
    <w:p>
      <w:pPr>
        <w:ind w:right="4500"/>
        <w:spacing w:after="0" w:line="245" w:lineRule="auto"/>
        <w:rPr>
          <w:sz w:val="20"/>
          <w:szCs w:val="20"/>
          <w:color w:val="auto"/>
        </w:rPr>
      </w:pPr>
      <w:r>
        <w:rPr>
          <w:rFonts w:ascii="Times New Roman" w:cs="Times New Roman" w:eastAsia="Times New Roman" w:hAnsi="Times New Roman"/>
          <w:sz w:val="18"/>
          <w:szCs w:val="18"/>
          <w:b w:val="1"/>
          <w:bCs w:val="1"/>
          <w:color w:val="auto"/>
        </w:rPr>
        <w:t xml:space="preserve">Unaudited consolidated statements of profit or loss and other comprehensive income </w:t>
      </w:r>
      <w:r>
        <w:rPr>
          <w:rFonts w:ascii="Times New Roman" w:cs="Times New Roman" w:eastAsia="Times New Roman" w:hAnsi="Times New Roman"/>
          <w:sz w:val="18"/>
          <w:szCs w:val="18"/>
          <w:i w:val="1"/>
          <w:iCs w:val="1"/>
          <w:color w:val="auto"/>
        </w:rPr>
        <w:t>(All amounts in thousands of U.S. dollars (“$”) unless otherwise indicated)</w:t>
      </w:r>
    </w:p>
    <w:p>
      <w:pPr>
        <w:spacing w:after="0" w:line="21" w:lineRule="exact"/>
        <w:rPr>
          <w:sz w:val="20"/>
          <w:szCs w:val="20"/>
          <w:color w:val="auto"/>
        </w:rPr>
      </w:pPr>
    </w:p>
    <w:tbl>
      <w:tblPr>
        <w:tblLayout w:type="fixed"/>
        <w:tblInd w:w="280" w:type="dxa"/>
        <w:tblCellMar>
          <w:top w:w="0" w:type="dxa"/>
          <w:left w:w="0" w:type="dxa"/>
          <w:bottom w:w="0" w:type="dxa"/>
          <w:right w:w="0" w:type="dxa"/>
        </w:tblCellMar>
      </w:tblPr>
      <w:tr>
        <w:trPr>
          <w:trHeight w:val="215"/>
        </w:trPr>
        <w:tc>
          <w:tcPr>
            <w:tcW w:w="6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r>
      <w:tr>
        <w:trPr>
          <w:trHeight w:val="208"/>
        </w:trPr>
        <w:tc>
          <w:tcPr>
            <w:tcW w:w="6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r>
      <w:tr>
        <w:trPr>
          <w:trHeight w:val="214"/>
        </w:trPr>
        <w:tc>
          <w:tcPr>
            <w:tcW w:w="6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2025</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2024</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2024</w:t>
            </w:r>
          </w:p>
        </w:tc>
      </w:tr>
      <w:tr>
        <w:trPr>
          <w:trHeight w:val="199"/>
        </w:trPr>
        <w:tc>
          <w:tcPr>
            <w:tcW w:w="6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Continuing operations</w:t>
            </w: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19"/>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17,312</w:t>
            </w:r>
          </w:p>
        </w:tc>
        <w:tc>
          <w:tcPr>
            <w:tcW w:w="38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10,488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6,413</w:t>
            </w:r>
          </w:p>
        </w:tc>
      </w:tr>
      <w:tr>
        <w:trPr>
          <w:trHeight w:val="216"/>
        </w:trPr>
        <w:tc>
          <w:tcPr>
            <w:tcW w:w="6180" w:type="dxa"/>
            <w:vAlign w:val="bottom"/>
            <w:tcBorders>
              <w:bottom w:val="single" w:sz="8" w:color="CCEEFF"/>
            </w:tcBorders>
          </w:tcPr>
          <w:p>
            <w:pPr>
              <w:spacing w:after="0" w:line="216" w:lineRule="exact"/>
              <w:rPr>
                <w:sz w:val="20"/>
                <w:szCs w:val="20"/>
                <w:color w:val="auto"/>
              </w:rPr>
            </w:pPr>
            <w:r>
              <w:rPr>
                <w:rFonts w:ascii="Times New Roman" w:cs="Times New Roman" w:eastAsia="Times New Roman" w:hAnsi="Times New Roman"/>
                <w:sz w:val="16"/>
                <w:szCs w:val="16"/>
                <w:color w:val="auto"/>
              </w:rPr>
              <w:t>Direct costs</w:t>
            </w:r>
            <w:r>
              <w:rPr>
                <w:rFonts w:ascii="Times New Roman" w:cs="Times New Roman" w:eastAsia="Times New Roman" w:hAnsi="Times New Roman"/>
                <w:sz w:val="21"/>
                <w:szCs w:val="21"/>
                <w:b w:val="1"/>
                <w:bCs w:val="1"/>
                <w:color w:val="auto"/>
                <w:vertAlign w:val="superscript"/>
              </w:rPr>
              <w:t>6</w:t>
            </w: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(9,970)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(6,586)</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(2,631)</w:t>
            </w:r>
          </w:p>
        </w:tc>
      </w:tr>
      <w:tr>
        <w:trPr>
          <w:trHeight w:val="210"/>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7,342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3,782</w:t>
            </w:r>
          </w:p>
        </w:tc>
      </w:tr>
      <w:tr>
        <w:trPr>
          <w:trHeight w:val="213"/>
        </w:trPr>
        <w:tc>
          <w:tcPr>
            <w:tcW w:w="6180" w:type="dxa"/>
            <w:vAlign w:val="bottom"/>
          </w:tcPr>
          <w:p>
            <w:pPr>
              <w:spacing w:after="0"/>
              <w:rPr>
                <w:sz w:val="20"/>
                <w:szCs w:val="20"/>
                <w:color w:val="auto"/>
              </w:rPr>
            </w:pPr>
            <w:r>
              <w:rPr>
                <w:rFonts w:ascii="Times New Roman" w:cs="Times New Roman" w:eastAsia="Times New Roman" w:hAnsi="Times New Roman"/>
                <w:sz w:val="16"/>
                <w:szCs w:val="16"/>
                <w:color w:val="auto"/>
              </w:rPr>
              <w:t>Other income and other net gain</w:t>
            </w: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748</w:t>
            </w:r>
          </w:p>
        </w:tc>
      </w:tr>
      <w:tr>
        <w:trPr>
          <w:trHeight w:val="219"/>
        </w:trPr>
        <w:tc>
          <w:tcPr>
            <w:tcW w:w="6180" w:type="dxa"/>
            <w:vAlign w:val="bottom"/>
            <w:shd w:val="clear" w:color="auto" w:fill="CCEEFF"/>
          </w:tcPr>
          <w:p>
            <w:pPr>
              <w:spacing w:after="0" w:line="219" w:lineRule="exact"/>
              <w:rPr>
                <w:sz w:val="20"/>
                <w:szCs w:val="20"/>
                <w:color w:val="auto"/>
              </w:rPr>
            </w:pPr>
            <w:r>
              <w:rPr>
                <w:rFonts w:ascii="Times New Roman" w:cs="Times New Roman" w:eastAsia="Times New Roman" w:hAnsi="Times New Roman"/>
                <w:sz w:val="16"/>
                <w:szCs w:val="16"/>
                <w:color w:val="auto"/>
              </w:rPr>
              <w:t>Selling and distribution expenses</w:t>
            </w:r>
            <w:r>
              <w:rPr>
                <w:rFonts w:ascii="Times New Roman" w:cs="Times New Roman" w:eastAsia="Times New Roman" w:hAnsi="Times New Roman"/>
                <w:sz w:val="21"/>
                <w:szCs w:val="21"/>
                <w:b w:val="1"/>
                <w:bCs w:val="1"/>
                <w:color w:val="auto"/>
                <w:vertAlign w:val="superscript"/>
              </w:rPr>
              <w:t>6</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(1,898)</w:t>
            </w:r>
          </w:p>
        </w:tc>
      </w:tr>
      <w:tr>
        <w:trPr>
          <w:trHeight w:val="216"/>
        </w:trPr>
        <w:tc>
          <w:tcPr>
            <w:tcW w:w="618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Research and development expenses</w:t>
            </w:r>
            <w:r>
              <w:rPr>
                <w:rFonts w:ascii="Times New Roman" w:cs="Times New Roman" w:eastAsia="Times New Roman" w:hAnsi="Times New Roman"/>
                <w:sz w:val="21"/>
                <w:szCs w:val="21"/>
                <w:b w:val="1"/>
                <w:bCs w:val="1"/>
                <w:color w:val="auto"/>
                <w:vertAlign w:val="superscript"/>
              </w:rPr>
              <w:t>6</w:t>
            </w: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(2,731)</w:t>
            </w:r>
          </w:p>
        </w:tc>
      </w:tr>
      <w:tr>
        <w:trPr>
          <w:trHeight w:val="216"/>
        </w:trPr>
        <w:tc>
          <w:tcPr>
            <w:tcW w:w="61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Administrative and other operating expenses</w:t>
            </w:r>
            <w:r>
              <w:rPr>
                <w:rFonts w:ascii="Times New Roman" w:cs="Times New Roman" w:eastAsia="Times New Roman" w:hAnsi="Times New Roman"/>
                <w:sz w:val="21"/>
                <w:szCs w:val="21"/>
                <w:b w:val="1"/>
                <w:bCs w:val="1"/>
                <w:color w:val="auto"/>
                <w:vertAlign w:val="superscript"/>
              </w:rPr>
              <w:t>6</w:t>
            </w:r>
          </w:p>
        </w:tc>
        <w:tc>
          <w:tcPr>
            <w:tcW w:w="3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(11,081)</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(16,780)</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(9,061)</w:t>
            </w:r>
          </w:p>
        </w:tc>
      </w:tr>
      <w:tr>
        <w:trPr>
          <w:trHeight w:val="207"/>
        </w:trPr>
        <w:tc>
          <w:tcPr>
            <w:tcW w:w="6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Operating loss from continuing operations</w:t>
            </w:r>
          </w:p>
        </w:tc>
        <w:tc>
          <w:tcPr>
            <w:tcW w:w="3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(10,632)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(16,570)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(9,160)</w:t>
            </w:r>
          </w:p>
        </w:tc>
      </w:tr>
      <w:tr>
        <w:trPr>
          <w:trHeight w:val="219"/>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Fair value loss on financial assets at fair value through profit or loss</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(8,728)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180" w:type="dxa"/>
            <w:vAlign w:val="bottom"/>
          </w:tcPr>
          <w:p>
            <w:pPr>
              <w:spacing w:after="0"/>
              <w:rPr>
                <w:sz w:val="20"/>
                <w:szCs w:val="20"/>
                <w:color w:val="auto"/>
              </w:rPr>
            </w:pPr>
            <w:r>
              <w:rPr>
                <w:rFonts w:ascii="Times New Roman" w:cs="Times New Roman" w:eastAsia="Times New Roman" w:hAnsi="Times New Roman"/>
                <w:sz w:val="16"/>
                <w:szCs w:val="16"/>
                <w:color w:val="auto"/>
              </w:rPr>
              <w:t>Fair value (loss)/gain on warrant liabilities</w:t>
            </w: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r>
      <w:tr>
        <w:trPr>
          <w:trHeight w:val="219"/>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Gain on partial disposal of an equity-accounted investee</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180" w:type="dxa"/>
            <w:vAlign w:val="bottom"/>
          </w:tcPr>
          <w:p>
            <w:pPr>
              <w:spacing w:after="0"/>
              <w:rPr>
                <w:sz w:val="20"/>
                <w:szCs w:val="20"/>
                <w:color w:val="auto"/>
              </w:rPr>
            </w:pPr>
            <w:r>
              <w:rPr>
                <w:rFonts w:ascii="Times New Roman" w:cs="Times New Roman" w:eastAsia="Times New Roman" w:hAnsi="Times New Roman"/>
                <w:sz w:val="16"/>
                <w:szCs w:val="16"/>
                <w:color w:val="auto"/>
              </w:rPr>
              <w:t>Share of loss of equity-accounted investees, net of tax</w:t>
            </w: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w:t>
            </w:r>
          </w:p>
        </w:tc>
      </w:tr>
      <w:tr>
        <w:trPr>
          <w:trHeight w:val="219"/>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finance costs</w:t>
            </w: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07"/>
        </w:trPr>
        <w:tc>
          <w:tcPr>
            <w:tcW w:w="6180" w:type="dxa"/>
            <w:vAlign w:val="bottom"/>
          </w:tcPr>
          <w:p>
            <w:pPr>
              <w:spacing w:after="0"/>
              <w:rPr>
                <w:sz w:val="20"/>
                <w:szCs w:val="20"/>
                <w:color w:val="auto"/>
              </w:rPr>
            </w:pPr>
            <w:r>
              <w:rPr>
                <w:rFonts w:ascii="Times New Roman" w:cs="Times New Roman" w:eastAsia="Times New Roman" w:hAnsi="Times New Roman"/>
                <w:sz w:val="16"/>
                <w:szCs w:val="16"/>
                <w:color w:val="auto"/>
              </w:rPr>
              <w:t>Loss before taxation</w:t>
            </w:r>
          </w:p>
        </w:tc>
        <w:tc>
          <w:tcPr>
            <w:tcW w:w="3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(11,073)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(24,970)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(9,311)</w:t>
            </w:r>
          </w:p>
        </w:tc>
      </w:tr>
      <w:tr>
        <w:trPr>
          <w:trHeight w:val="219"/>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credit</w:t>
            </w: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7,424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w:t>
            </w:r>
          </w:p>
        </w:tc>
      </w:tr>
      <w:tr>
        <w:trPr>
          <w:trHeight w:val="207"/>
        </w:trPr>
        <w:tc>
          <w:tcPr>
            <w:tcW w:w="6180" w:type="dxa"/>
            <w:vAlign w:val="bottom"/>
          </w:tcPr>
          <w:p>
            <w:pPr>
              <w:spacing w:after="0"/>
              <w:rPr>
                <w:sz w:val="20"/>
                <w:szCs w:val="20"/>
                <w:color w:val="auto"/>
              </w:rPr>
            </w:pPr>
            <w:r>
              <w:rPr>
                <w:rFonts w:ascii="Times New Roman" w:cs="Times New Roman" w:eastAsia="Times New Roman" w:hAnsi="Times New Roman"/>
                <w:sz w:val="16"/>
                <w:szCs w:val="16"/>
                <w:color w:val="auto"/>
              </w:rPr>
              <w:t>Loss from continuing operations</w:t>
            </w:r>
          </w:p>
        </w:tc>
        <w:tc>
          <w:tcPr>
            <w:tcW w:w="3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(11,009)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(17,546)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(9,025)</w:t>
            </w:r>
          </w:p>
        </w:tc>
      </w:tr>
      <w:tr>
        <w:trPr>
          <w:trHeight w:val="219"/>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Discontinued operation</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16"/>
        </w:trPr>
        <w:tc>
          <w:tcPr>
            <w:tcW w:w="6180" w:type="dxa"/>
            <w:vAlign w:val="bottom"/>
            <w:tcBorders>
              <w:bottom w:val="single" w:sz="8" w:color="CCEEFF"/>
            </w:tcBorders>
          </w:tcPr>
          <w:p>
            <w:pPr>
              <w:spacing w:after="0" w:line="216" w:lineRule="exact"/>
              <w:rPr>
                <w:sz w:val="20"/>
                <w:szCs w:val="20"/>
                <w:color w:val="auto"/>
              </w:rPr>
            </w:pPr>
            <w:r>
              <w:rPr>
                <w:rFonts w:ascii="Times New Roman" w:cs="Times New Roman" w:eastAsia="Times New Roman" w:hAnsi="Times New Roman"/>
                <w:sz w:val="16"/>
                <w:szCs w:val="16"/>
                <w:color w:val="auto"/>
              </w:rPr>
              <w:t>(Loss)/profit from discontinued operation, net of tax</w:t>
            </w:r>
            <w:r>
              <w:rPr>
                <w:rFonts w:ascii="Times New Roman" w:cs="Times New Roman" w:eastAsia="Times New Roman" w:hAnsi="Times New Roman"/>
                <w:sz w:val="21"/>
                <w:szCs w:val="21"/>
                <w:b w:val="1"/>
                <w:bCs w:val="1"/>
                <w:color w:val="auto"/>
                <w:vertAlign w:val="superscript"/>
              </w:rPr>
              <w:t>7</w:t>
            </w: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10"/>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Loss for the period</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(11,016)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(17,543)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(9,052)</w:t>
            </w:r>
          </w:p>
        </w:tc>
      </w:tr>
      <w:tr>
        <w:trPr>
          <w:trHeight w:val="214"/>
        </w:trPr>
        <w:tc>
          <w:tcPr>
            <w:tcW w:w="6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Other comprehensive income/(expense)</w:t>
            </w: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8"/>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Items that will not be reclassified subsequently to profit or loss:</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3"/>
        </w:trPr>
        <w:tc>
          <w:tcPr>
            <w:tcW w:w="6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Share of other comprehensive income of equity-accounted investees</w:t>
            </w: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Item that may be reclassified subsequently to profit or loss:</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13"/>
        </w:trPr>
        <w:tc>
          <w:tcPr>
            <w:tcW w:w="61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Exchange difference on translation of foreign operations</w:t>
            </w: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(726)</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(430)</w:t>
            </w:r>
          </w:p>
        </w:tc>
      </w:tr>
      <w:tr>
        <w:trPr>
          <w:trHeight w:val="212"/>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Other comprehensive income/(expense) for the period</w:t>
            </w:r>
          </w:p>
        </w:tc>
        <w:tc>
          <w:tcPr>
            <w:tcW w:w="3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w:t>
            </w:r>
          </w:p>
        </w:tc>
      </w:tr>
      <w:tr>
        <w:trPr>
          <w:trHeight w:val="209"/>
        </w:trPr>
        <w:tc>
          <w:tcPr>
            <w:tcW w:w="6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comprehensive expense for the period</w:t>
            </w: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(10,949)</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(17,966)</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(9,482)</w:t>
            </w:r>
          </w:p>
        </w:tc>
      </w:tr>
      <w:tr>
        <w:trPr>
          <w:trHeight w:val="20"/>
        </w:trPr>
        <w:tc>
          <w:tcPr>
            <w:tcW w:w="61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83"/>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Loss attributable to:</w:t>
            </w:r>
          </w:p>
        </w:tc>
        <w:tc>
          <w:tcPr>
            <w:tcW w:w="3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213"/>
        </w:trPr>
        <w:tc>
          <w:tcPr>
            <w:tcW w:w="6180" w:type="dxa"/>
            <w:vAlign w:val="bottom"/>
          </w:tcPr>
          <w:p>
            <w:pPr>
              <w:spacing w:after="0"/>
              <w:rPr>
                <w:sz w:val="20"/>
                <w:szCs w:val="20"/>
                <w:color w:val="auto"/>
              </w:rPr>
            </w:pPr>
            <w:r>
              <w:rPr>
                <w:rFonts w:ascii="Times New Roman" w:cs="Times New Roman" w:eastAsia="Times New Roman" w:hAnsi="Times New Roman"/>
                <w:sz w:val="16"/>
                <w:szCs w:val="16"/>
                <w:color w:val="auto"/>
              </w:rPr>
              <w:t>Equity shareholders of Prenetics</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(10,390)</w:t>
            </w:r>
          </w:p>
        </w:tc>
        <w:tc>
          <w:tcPr>
            <w:tcW w:w="38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(16,343)</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(8,568)</w:t>
            </w:r>
          </w:p>
        </w:tc>
      </w:tr>
      <w:tr>
        <w:trPr>
          <w:trHeight w:val="219"/>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Non-controlling interests</w:t>
            </w: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w:t>
            </w:r>
          </w:p>
        </w:tc>
      </w:tr>
      <w:tr>
        <w:trPr>
          <w:trHeight w:val="207"/>
        </w:trPr>
        <w:tc>
          <w:tcPr>
            <w:tcW w:w="6180" w:type="dxa"/>
            <w:vAlign w:val="bottom"/>
          </w:tcPr>
          <w:p>
            <w:pPr>
              <w:spacing w:after="0"/>
              <w:rPr>
                <w:sz w:val="17"/>
                <w:szCs w:val="17"/>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(11,016)</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(17,543)</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(9,052)</w:t>
            </w:r>
          </w:p>
        </w:tc>
      </w:tr>
      <w:tr>
        <w:trPr>
          <w:trHeight w:val="20"/>
        </w:trPr>
        <w:tc>
          <w:tcPr>
            <w:tcW w:w="61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8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comprehensive expense attributable to:</w:t>
            </w:r>
          </w:p>
        </w:tc>
        <w:tc>
          <w:tcPr>
            <w:tcW w:w="3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213"/>
        </w:trPr>
        <w:tc>
          <w:tcPr>
            <w:tcW w:w="6180" w:type="dxa"/>
            <w:vAlign w:val="bottom"/>
          </w:tcPr>
          <w:p>
            <w:pPr>
              <w:spacing w:after="0"/>
              <w:rPr>
                <w:sz w:val="20"/>
                <w:szCs w:val="20"/>
                <w:color w:val="auto"/>
              </w:rPr>
            </w:pPr>
            <w:r>
              <w:rPr>
                <w:rFonts w:ascii="Times New Roman" w:cs="Times New Roman" w:eastAsia="Times New Roman" w:hAnsi="Times New Roman"/>
                <w:sz w:val="16"/>
                <w:szCs w:val="16"/>
                <w:color w:val="auto"/>
              </w:rPr>
              <w:t>Equity shareholders of Prenetics</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(10,243)</w:t>
            </w:r>
          </w:p>
        </w:tc>
        <w:tc>
          <w:tcPr>
            <w:tcW w:w="38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(16,607)</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(9,001)</w:t>
            </w:r>
          </w:p>
        </w:tc>
      </w:tr>
      <w:tr>
        <w:trPr>
          <w:trHeight w:val="219"/>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Non-controlling interests</w:t>
            </w: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w:t>
            </w:r>
          </w:p>
        </w:tc>
      </w:tr>
      <w:tr>
        <w:trPr>
          <w:trHeight w:val="207"/>
        </w:trPr>
        <w:tc>
          <w:tcPr>
            <w:tcW w:w="6180" w:type="dxa"/>
            <w:vAlign w:val="bottom"/>
          </w:tcPr>
          <w:p>
            <w:pPr>
              <w:spacing w:after="0"/>
              <w:rPr>
                <w:sz w:val="17"/>
                <w:szCs w:val="17"/>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(10,949)</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(17,966)</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(9,482)</w:t>
            </w:r>
          </w:p>
        </w:tc>
      </w:tr>
      <w:tr>
        <w:trPr>
          <w:trHeight w:val="20"/>
        </w:trPr>
        <w:tc>
          <w:tcPr>
            <w:tcW w:w="61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8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Loss per share:</w:t>
            </w:r>
          </w:p>
        </w:tc>
        <w:tc>
          <w:tcPr>
            <w:tcW w:w="3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213"/>
        </w:trPr>
        <w:tc>
          <w:tcPr>
            <w:tcW w:w="6180" w:type="dxa"/>
            <w:vAlign w:val="bottom"/>
          </w:tcPr>
          <w:p>
            <w:pPr>
              <w:spacing w:after="0"/>
              <w:rPr>
                <w:sz w:val="20"/>
                <w:szCs w:val="20"/>
                <w:color w:val="auto"/>
              </w:rPr>
            </w:pPr>
            <w:r>
              <w:rPr>
                <w:rFonts w:ascii="Times New Roman" w:cs="Times New Roman" w:eastAsia="Times New Roman" w:hAnsi="Times New Roman"/>
                <w:sz w:val="16"/>
                <w:szCs w:val="16"/>
                <w:color w:val="auto"/>
              </w:rPr>
              <w:t>Basic</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(0.80)</w:t>
            </w:r>
          </w:p>
        </w:tc>
        <w:tc>
          <w:tcPr>
            <w:tcW w:w="38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(0.70)</w:t>
            </w:r>
          </w:p>
        </w:tc>
      </w:tr>
      <w:tr>
        <w:trPr>
          <w:trHeight w:val="219"/>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Diluted</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(0.70)</w:t>
            </w:r>
          </w:p>
        </w:tc>
      </w:tr>
      <w:tr>
        <w:trPr>
          <w:trHeight w:val="214"/>
        </w:trPr>
        <w:tc>
          <w:tcPr>
            <w:tcW w:w="6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Loss per share - Continuing operations:</w:t>
            </w: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8"/>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Basic</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(0.70)</w:t>
            </w:r>
          </w:p>
        </w:tc>
      </w:tr>
      <w:tr>
        <w:trPr>
          <w:trHeight w:val="213"/>
        </w:trPr>
        <w:tc>
          <w:tcPr>
            <w:tcW w:w="6180" w:type="dxa"/>
            <w:vAlign w:val="bottom"/>
          </w:tcPr>
          <w:p>
            <w:pPr>
              <w:spacing w:after="0"/>
              <w:rPr>
                <w:sz w:val="20"/>
                <w:szCs w:val="20"/>
                <w:color w:val="auto"/>
              </w:rPr>
            </w:pPr>
            <w:r>
              <w:rPr>
                <w:rFonts w:ascii="Times New Roman" w:cs="Times New Roman" w:eastAsia="Times New Roman" w:hAnsi="Times New Roman"/>
                <w:sz w:val="16"/>
                <w:szCs w:val="16"/>
                <w:color w:val="auto"/>
              </w:rPr>
              <w:t>Diluted</w:t>
            </w: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(0.70)</w:t>
            </w:r>
          </w:p>
        </w:tc>
      </w:tr>
      <w:tr>
        <w:trPr>
          <w:trHeight w:val="219"/>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Weighted average number of common shares:</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13"/>
        </w:trPr>
        <w:tc>
          <w:tcPr>
            <w:tcW w:w="6180" w:type="dxa"/>
            <w:vAlign w:val="bottom"/>
          </w:tcPr>
          <w:p>
            <w:pPr>
              <w:spacing w:after="0"/>
              <w:rPr>
                <w:sz w:val="20"/>
                <w:szCs w:val="20"/>
                <w:color w:val="auto"/>
              </w:rPr>
            </w:pPr>
            <w:r>
              <w:rPr>
                <w:rFonts w:ascii="Times New Roman" w:cs="Times New Roman" w:eastAsia="Times New Roman" w:hAnsi="Times New Roman"/>
                <w:sz w:val="16"/>
                <w:szCs w:val="16"/>
                <w:color w:val="auto"/>
              </w:rPr>
              <w:t>Basic</w:t>
            </w: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13,002,975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12,494,648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12,215,904</w:t>
            </w:r>
          </w:p>
        </w:tc>
      </w:tr>
      <w:tr>
        <w:trPr>
          <w:trHeight w:val="219"/>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Diluted</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13,002,975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12,494,648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12,215,904</w:t>
            </w:r>
          </w:p>
        </w:tc>
      </w:tr>
    </w:tbl>
    <w:p>
      <w:pPr>
        <w:sectPr>
          <w:pgSz w:w="11900" w:h="16838" w:orient="portrait"/>
          <w:cols w:equalWidth="0" w:num="1">
            <w:col w:w="10980"/>
          </w:cols>
          <w:pgMar w:left="320" w:top="1400" w:right="5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PRENETICS GLOBAL LIMITED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Non-IFRS Financial Measures</w:t>
      </w:r>
    </w:p>
    <w:p>
      <w:pPr>
        <w:spacing w:after="0"/>
        <w:rPr>
          <w:sz w:val="20"/>
          <w:szCs w:val="20"/>
          <w:color w:val="auto"/>
        </w:rPr>
      </w:pPr>
      <w:r>
        <w:rPr>
          <w:rFonts w:ascii="Times New Roman" w:cs="Times New Roman" w:eastAsia="Times New Roman" w:hAnsi="Times New Roman"/>
          <w:sz w:val="18"/>
          <w:szCs w:val="18"/>
          <w:i w:val="1"/>
          <w:iCs w:val="1"/>
          <w:color w:val="auto"/>
        </w:rPr>
        <w:t>(All amounts in thousands of U.S. dollars (“$”))</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loss for the period under IFRS and adjusted EBITDA (Non-IFRS)</w:t>
      </w:r>
    </w:p>
    <w:p>
      <w:pPr>
        <w:spacing w:after="0" w:line="286" w:lineRule="exact"/>
        <w:rPr>
          <w:sz w:val="20"/>
          <w:szCs w:val="20"/>
          <w:color w:val="auto"/>
        </w:rPr>
      </w:pPr>
    </w:p>
    <w:tbl>
      <w:tblPr>
        <w:tblLayout w:type="fixed"/>
        <w:tblInd w:w="460" w:type="dxa"/>
        <w:tblCellMar>
          <w:top w:w="0" w:type="dxa"/>
          <w:left w:w="0" w:type="dxa"/>
          <w:bottom w:w="0" w:type="dxa"/>
          <w:right w:w="0" w:type="dxa"/>
        </w:tblCellMar>
      </w:tblPr>
      <w:tr>
        <w:trPr>
          <w:trHeight w:val="215"/>
        </w:trPr>
        <w:tc>
          <w:tcPr>
            <w:tcW w:w="462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5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r>
      <w:tr>
        <w:trPr>
          <w:trHeight w:val="208"/>
        </w:trPr>
        <w:tc>
          <w:tcPr>
            <w:tcW w:w="4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5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r>
      <w:tr>
        <w:trPr>
          <w:trHeight w:val="217"/>
        </w:trPr>
        <w:tc>
          <w:tcPr>
            <w:tcW w:w="462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2025</w:t>
            </w:r>
          </w:p>
        </w:tc>
        <w:tc>
          <w:tcPr>
            <w:tcW w:w="34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2024</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2024</w:t>
            </w:r>
          </w:p>
        </w:tc>
      </w:tr>
      <w:tr>
        <w:trPr>
          <w:trHeight w:val="21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Loss for the period under IFRS</w:t>
            </w:r>
          </w:p>
        </w:tc>
        <w:tc>
          <w:tcPr>
            <w:tcW w:w="560" w:type="dxa"/>
            <w:vAlign w:val="bottom"/>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(11,016)</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(17,543)</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(9,052)</w:t>
            </w:r>
          </w:p>
        </w:tc>
      </w:tr>
      <w:tr>
        <w:trPr>
          <w:trHeight w:val="213"/>
        </w:trPr>
        <w:tc>
          <w:tcPr>
            <w:tcW w:w="4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5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1,126</w:t>
            </w: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1,394</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1,720</w:t>
            </w:r>
          </w:p>
        </w:tc>
      </w:tr>
      <w:tr>
        <w:trPr>
          <w:trHeight w:val="21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w:t>
            </w:r>
          </w:p>
        </w:tc>
        <w:tc>
          <w:tcPr>
            <w:tcW w:w="3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w:t>
            </w:r>
          </w:p>
        </w:tc>
      </w:tr>
      <w:tr>
        <w:trPr>
          <w:trHeight w:val="213"/>
        </w:trPr>
        <w:tc>
          <w:tcPr>
            <w:tcW w:w="4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finance costs</w:t>
            </w:r>
          </w:p>
        </w:tc>
        <w:tc>
          <w:tcPr>
            <w:tcW w:w="5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1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credit</w:t>
            </w:r>
          </w:p>
        </w:tc>
        <w:tc>
          <w:tcPr>
            <w:tcW w:w="5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34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(7,424)</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w:t>
            </w:r>
          </w:p>
        </w:tc>
      </w:tr>
      <w:tr>
        <w:trPr>
          <w:trHeight w:val="207"/>
        </w:trPr>
        <w:tc>
          <w:tcPr>
            <w:tcW w:w="46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EBITDA under IFRS</w:t>
            </w:r>
          </w:p>
        </w:tc>
        <w:tc>
          <w:tcPr>
            <w:tcW w:w="5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(10,325)</w:t>
            </w: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(24,045)</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(8,209)</w:t>
            </w:r>
          </w:p>
        </w:tc>
      </w:tr>
      <w:tr>
        <w:trPr>
          <w:trHeight w:val="21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deferred expenses</w:t>
            </w: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2,088</w:t>
            </w:r>
          </w:p>
        </w:tc>
        <w:tc>
          <w:tcPr>
            <w:tcW w:w="3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2,088</w:t>
            </w:r>
          </w:p>
        </w:tc>
      </w:tr>
      <w:tr>
        <w:trPr>
          <w:trHeight w:val="213"/>
        </w:trPr>
        <w:tc>
          <w:tcPr>
            <w:tcW w:w="4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Equity-settled share-based payment expenses</w:t>
            </w:r>
          </w:p>
        </w:tc>
        <w:tc>
          <w:tcPr>
            <w:tcW w:w="5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1,101</w:t>
            </w: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2,984</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1,937</w:t>
            </w:r>
          </w:p>
        </w:tc>
      </w:tr>
      <w:tr>
        <w:trPr>
          <w:trHeight w:val="21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Acquisition and transaction-related costs</w:t>
            </w: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Strategic realignment and discontinued products impact</w:t>
            </w:r>
          </w:p>
        </w:tc>
        <w:tc>
          <w:tcPr>
            <w:tcW w:w="5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1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Exchange gain or loss, net</w:t>
            </w: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w:t>
            </w:r>
          </w:p>
        </w:tc>
        <w:tc>
          <w:tcPr>
            <w:tcW w:w="3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r>
      <w:tr>
        <w:trPr>
          <w:trHeight w:val="213"/>
        </w:trPr>
        <w:tc>
          <w:tcPr>
            <w:tcW w:w="4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Fair value loss on financial assets at fair value through profit or loss</w:t>
            </w:r>
          </w:p>
        </w:tc>
        <w:tc>
          <w:tcPr>
            <w:tcW w:w="5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8,728</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Fair value loss/(gain) on warrant liabilities</w:t>
            </w: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3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r>
      <w:tr>
        <w:trPr>
          <w:trHeight w:val="213"/>
        </w:trPr>
        <w:tc>
          <w:tcPr>
            <w:tcW w:w="4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Gain on partial disposal of an equity-accounted investee</w:t>
            </w:r>
          </w:p>
        </w:tc>
        <w:tc>
          <w:tcPr>
            <w:tcW w:w="5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(1,244)</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 of loss of equity-accounted investees, net of tax</w:t>
            </w: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w:t>
            </w:r>
          </w:p>
        </w:tc>
        <w:tc>
          <w:tcPr>
            <w:tcW w:w="3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w:t>
            </w:r>
          </w:p>
        </w:tc>
      </w:tr>
      <w:tr>
        <w:trPr>
          <w:trHeight w:val="213"/>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Loss/(profit) from discontinued operation, net of tax</w:t>
            </w:r>
          </w:p>
        </w:tc>
        <w:tc>
          <w:tcPr>
            <w:tcW w:w="5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34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37"/>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EBITDA (Non-IFRS)</w:t>
            </w:r>
          </w:p>
        </w:tc>
        <w:tc>
          <w:tcPr>
            <w:tcW w:w="560" w:type="dxa"/>
            <w:vAlign w:val="bottom"/>
            <w:tcBorders>
              <w:bottom w:val="single" w:sz="8" w:color="auto"/>
            </w:tcBorders>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(6,545)</w:t>
            </w:r>
          </w:p>
        </w:tc>
        <w:tc>
          <w:tcPr>
            <w:tcW w:w="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(9,414)</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(4,106)</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Revenue from continuing operations, Normalized to exclude ACT Genomics</w:t>
      </w:r>
    </w:p>
    <w:p>
      <w:pPr>
        <w:spacing w:after="0" w:line="286" w:lineRule="exact"/>
        <w:rPr>
          <w:sz w:val="20"/>
          <w:szCs w:val="20"/>
          <w:color w:val="auto"/>
        </w:rPr>
      </w:pPr>
    </w:p>
    <w:tbl>
      <w:tblPr>
        <w:tblLayout w:type="fixed"/>
        <w:tblInd w:w="460" w:type="dxa"/>
        <w:tblCellMar>
          <w:top w:w="0" w:type="dxa"/>
          <w:left w:w="0" w:type="dxa"/>
          <w:bottom w:w="0" w:type="dxa"/>
          <w:right w:w="0" w:type="dxa"/>
        </w:tblCellMar>
      </w:tblPr>
      <w:tr>
        <w:trPr>
          <w:trHeight w:val="215"/>
        </w:trPr>
        <w:tc>
          <w:tcPr>
            <w:tcW w:w="474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5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r>
      <w:tr>
        <w:trPr>
          <w:trHeight w:val="208"/>
        </w:trPr>
        <w:tc>
          <w:tcPr>
            <w:tcW w:w="4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20" w:type="dxa"/>
            <w:vAlign w:val="bottom"/>
          </w:tcPr>
          <w:p>
            <w:pPr>
              <w:spacing w:after="0"/>
              <w:rPr>
                <w:sz w:val="18"/>
                <w:szCs w:val="18"/>
                <w:color w:val="auto"/>
              </w:rPr>
            </w:pPr>
          </w:p>
        </w:tc>
        <w:tc>
          <w:tcPr>
            <w:tcW w:w="17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5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r>
      <w:tr>
        <w:trPr>
          <w:trHeight w:val="217"/>
        </w:trPr>
        <w:tc>
          <w:tcPr>
            <w:tcW w:w="474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2025</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2024</w:t>
            </w: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2024</w:t>
            </w:r>
          </w:p>
        </w:tc>
      </w:tr>
      <w:tr>
        <w:trPr>
          <w:trHeight w:val="213"/>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 from continuing operations under IFRS</w:t>
            </w:r>
          </w:p>
        </w:tc>
        <w:tc>
          <w:tcPr>
            <w:tcW w:w="580" w:type="dxa"/>
            <w:vAlign w:val="bottom"/>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17,312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10,488</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center"/>
              <w:ind w:left="619"/>
              <w:spacing w:after="0"/>
              <w:rPr>
                <w:sz w:val="20"/>
                <w:szCs w:val="20"/>
                <w:color w:val="auto"/>
              </w:rPr>
            </w:pPr>
            <w:r>
              <w:rPr>
                <w:rFonts w:ascii="Times New Roman" w:cs="Times New Roman" w:eastAsia="Times New Roman" w:hAnsi="Times New Roman"/>
                <w:sz w:val="16"/>
                <w:szCs w:val="16"/>
                <w:color w:val="auto"/>
                <w:w w:val="99"/>
              </w:rPr>
              <w:t>6,413</w:t>
            </w:r>
          </w:p>
        </w:tc>
      </w:tr>
      <w:tr>
        <w:trPr>
          <w:trHeight w:val="213"/>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Impact from ACT Genomics</w:t>
            </w:r>
          </w:p>
        </w:tc>
        <w:tc>
          <w:tcPr>
            <w:tcW w:w="5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6"/>
                <w:szCs w:val="16"/>
                <w:color w:val="auto"/>
              </w:rPr>
              <w:t>(2,901)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(3,925)</w:t>
            </w: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left="599"/>
              <w:spacing w:after="0"/>
              <w:rPr>
                <w:sz w:val="20"/>
                <w:szCs w:val="20"/>
                <w:color w:val="auto"/>
              </w:rPr>
            </w:pPr>
            <w:r>
              <w:rPr>
                <w:rFonts w:ascii="Times New Roman" w:cs="Times New Roman" w:eastAsia="Times New Roman" w:hAnsi="Times New Roman"/>
                <w:sz w:val="16"/>
                <w:szCs w:val="16"/>
                <w:color w:val="auto"/>
                <w:w w:val="98"/>
              </w:rPr>
              <w:t>(3,112)</w:t>
            </w:r>
          </w:p>
        </w:tc>
      </w:tr>
      <w:tr>
        <w:trPr>
          <w:trHeight w:val="237"/>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 normalized to exclude ACT Genomics (non-GAAP)</w:t>
            </w:r>
          </w:p>
        </w:tc>
        <w:tc>
          <w:tcPr>
            <w:tcW w:w="580" w:type="dxa"/>
            <w:vAlign w:val="bottom"/>
            <w:tcBorders>
              <w:bottom w:val="single" w:sz="8" w:color="auto"/>
            </w:tcBorders>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14,411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6,563</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center"/>
              <w:ind w:left="619"/>
              <w:spacing w:after="0"/>
              <w:rPr>
                <w:sz w:val="20"/>
                <w:szCs w:val="20"/>
                <w:color w:val="auto"/>
              </w:rPr>
            </w:pPr>
            <w:r>
              <w:rPr>
                <w:rFonts w:ascii="Times New Roman" w:cs="Times New Roman" w:eastAsia="Times New Roman" w:hAnsi="Times New Roman"/>
                <w:sz w:val="16"/>
                <w:szCs w:val="16"/>
                <w:color w:val="auto"/>
                <w:w w:val="99"/>
              </w:rPr>
              <w:t>3,301</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adjusted EBITDA, Normalized to exclude ACT Genomics</w:t>
      </w:r>
    </w:p>
    <w:p>
      <w:pPr>
        <w:spacing w:after="0" w:line="286" w:lineRule="exact"/>
        <w:rPr>
          <w:sz w:val="20"/>
          <w:szCs w:val="20"/>
          <w:color w:val="auto"/>
        </w:rPr>
      </w:pPr>
    </w:p>
    <w:tbl>
      <w:tblPr>
        <w:tblLayout w:type="fixed"/>
        <w:tblInd w:w="460" w:type="dxa"/>
        <w:tblCellMar>
          <w:top w:w="0" w:type="dxa"/>
          <w:left w:w="0" w:type="dxa"/>
          <w:bottom w:w="0" w:type="dxa"/>
          <w:right w:w="0" w:type="dxa"/>
        </w:tblCellMar>
      </w:tblPr>
      <w:tr>
        <w:trPr>
          <w:trHeight w:val="215"/>
        </w:trPr>
        <w:tc>
          <w:tcPr>
            <w:tcW w:w="474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5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20" w:type="dxa"/>
            <w:vAlign w:val="bottom"/>
            <w:gridSpan w:val="2"/>
          </w:tcPr>
          <w:p>
            <w:pPr>
              <w:ind w:left="50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20" w:type="dxa"/>
            <w:vAlign w:val="bottom"/>
          </w:tcPr>
          <w:p>
            <w:pPr>
              <w:spacing w:after="0"/>
              <w:rPr>
                <w:sz w:val="18"/>
                <w:szCs w:val="18"/>
                <w:color w:val="auto"/>
              </w:rPr>
            </w:pPr>
          </w:p>
        </w:tc>
        <w:tc>
          <w:tcPr>
            <w:tcW w:w="1780" w:type="dxa"/>
            <w:vAlign w:val="bottom"/>
            <w:gridSpan w:val="2"/>
          </w:tcPr>
          <w:p>
            <w:pPr>
              <w:ind w:left="7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5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0" w:type="dxa"/>
            <w:vAlign w:val="bottom"/>
          </w:tcPr>
          <w:p>
            <w:pPr>
              <w:spacing w:after="0"/>
              <w:rPr>
                <w:sz w:val="1"/>
                <w:szCs w:val="1"/>
                <w:color w:val="auto"/>
              </w:rPr>
            </w:pPr>
          </w:p>
        </w:tc>
      </w:tr>
      <w:tr>
        <w:trPr>
          <w:trHeight w:val="217"/>
        </w:trPr>
        <w:tc>
          <w:tcPr>
            <w:tcW w:w="474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2025</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2024</w:t>
            </w: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2024</w:t>
            </w:r>
          </w:p>
        </w:tc>
        <w:tc>
          <w:tcPr>
            <w:tcW w:w="0" w:type="dxa"/>
            <w:vAlign w:val="bottom"/>
          </w:tcPr>
          <w:p>
            <w:pPr>
              <w:spacing w:after="0"/>
              <w:rPr>
                <w:sz w:val="1"/>
                <w:szCs w:val="1"/>
                <w:color w:val="auto"/>
              </w:rPr>
            </w:pPr>
          </w:p>
        </w:tc>
      </w:tr>
      <w:tr>
        <w:trPr>
          <w:trHeight w:val="213"/>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EBITDA (non-IFRS)</w:t>
            </w:r>
          </w:p>
        </w:tc>
        <w:tc>
          <w:tcPr>
            <w:tcW w:w="580" w:type="dxa"/>
            <w:vAlign w:val="bottom"/>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(9,414)</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(4,106)</w:t>
            </w:r>
          </w:p>
        </w:tc>
        <w:tc>
          <w:tcPr>
            <w:tcW w:w="0" w:type="dxa"/>
            <w:vAlign w:val="bottom"/>
          </w:tcPr>
          <w:p>
            <w:pPr>
              <w:spacing w:after="0"/>
              <w:rPr>
                <w:sz w:val="1"/>
                <w:szCs w:val="1"/>
                <w:color w:val="auto"/>
              </w:rPr>
            </w:pPr>
          </w:p>
        </w:tc>
      </w:tr>
      <w:tr>
        <w:trPr>
          <w:trHeight w:val="213"/>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Impact from adjusted EBITDA loss from ACT Genomics</w:t>
            </w:r>
          </w:p>
        </w:tc>
        <w:tc>
          <w:tcPr>
            <w:tcW w:w="5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1,782</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1,966</w:t>
            </w: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1,977</w:t>
            </w:r>
          </w:p>
        </w:tc>
        <w:tc>
          <w:tcPr>
            <w:tcW w:w="0" w:type="dxa"/>
            <w:vAlign w:val="bottom"/>
          </w:tcPr>
          <w:p>
            <w:pPr>
              <w:spacing w:after="0"/>
              <w:rPr>
                <w:sz w:val="1"/>
                <w:szCs w:val="1"/>
                <w:color w:val="auto"/>
              </w:rPr>
            </w:pPr>
          </w:p>
        </w:tc>
      </w:tr>
      <w:tr>
        <w:trPr>
          <w:trHeight w:val="145"/>
        </w:trPr>
        <w:tc>
          <w:tcPr>
            <w:tcW w:w="474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6"/>
                <w:szCs w:val="16"/>
                <w:b w:val="1"/>
                <w:bCs w:val="1"/>
                <w:color w:val="auto"/>
              </w:rPr>
              <w:t>Adjusted EBITDA normalized to exclude ACT Genomics (non-</w:t>
            </w:r>
          </w:p>
        </w:tc>
        <w:tc>
          <w:tcPr>
            <w:tcW w:w="580" w:type="dxa"/>
            <w:vAlign w:val="bottom"/>
            <w:vMerge w:val="restart"/>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(4,763)</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(7,448)</w:t>
            </w:r>
          </w:p>
        </w:tc>
        <w:tc>
          <w:tcPr>
            <w:tcW w:w="10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(2,129)</w:t>
            </w:r>
          </w:p>
        </w:tc>
        <w:tc>
          <w:tcPr>
            <w:tcW w:w="0" w:type="dxa"/>
            <w:vAlign w:val="bottom"/>
          </w:tcPr>
          <w:p>
            <w:pPr>
              <w:spacing w:after="0"/>
              <w:rPr>
                <w:sz w:val="1"/>
                <w:szCs w:val="1"/>
                <w:color w:val="auto"/>
              </w:rPr>
            </w:pPr>
          </w:p>
        </w:tc>
      </w:tr>
      <w:tr>
        <w:trPr>
          <w:trHeight w:val="209"/>
        </w:trPr>
        <w:tc>
          <w:tcPr>
            <w:tcW w:w="4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GAAP)</w:t>
            </w:r>
          </w:p>
        </w:tc>
        <w:tc>
          <w:tcPr>
            <w:tcW w:w="580" w:type="dxa"/>
            <w:vAlign w:val="bottom"/>
            <w:tcBorders>
              <w:bottom w:val="single" w:sz="8" w:color="auto"/>
            </w:tcBorders>
            <w:vMerge w:val="continue"/>
            <w:shd w:val="clear" w:color="auto" w:fill="CCEEFF"/>
          </w:tcPr>
          <w:p>
            <w:pPr>
              <w:spacing w:after="0"/>
              <w:rPr>
                <w:sz w:val="18"/>
                <w:szCs w:val="18"/>
                <w:color w:val="auto"/>
              </w:rPr>
            </w:pPr>
          </w:p>
        </w:tc>
        <w:tc>
          <w:tcPr>
            <w:tcW w:w="12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16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vMerge w:val="continue"/>
            <w:shd w:val="clear" w:color="auto" w:fill="CCEEFF"/>
          </w:tcPr>
          <w:p>
            <w:pPr>
              <w:spacing w:after="0"/>
              <w:rPr>
                <w:sz w:val="18"/>
                <w:szCs w:val="18"/>
                <w:color w:val="auto"/>
              </w:rPr>
            </w:pPr>
          </w:p>
        </w:tc>
        <w:tc>
          <w:tcPr>
            <w:tcW w:w="12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t>
      </w:r>
    </w:p>
    <w:p>
      <w:pPr>
        <w:sectPr>
          <w:pgSz w:w="11900" w:h="16838" w:orient="portrait"/>
          <w:cols w:equalWidth="0" w:num="1">
            <w:col w:w="10800"/>
          </w:cols>
          <w:pgMar w:left="320" w:top="1400" w:right="779" w:bottom="1440" w:gutter="0" w:footer="0" w:header="0"/>
        </w:sectPr>
      </w:pPr>
    </w:p>
    <w:bookmarkStart w:id="10" w:name="page11"/>
    <w:bookmarkEnd w:id="10"/>
    <w:p>
      <w:pPr>
        <w:jc w:val="both"/>
        <w:ind w:left="-8" w:firstLine="8"/>
        <w:spacing w:after="0" w:line="231" w:lineRule="auto"/>
        <w:tabs>
          <w:tab w:leader="none" w:pos="71" w:val="left"/>
        </w:tabs>
        <w:numPr>
          <w:ilvl w:val="0"/>
          <w:numId w:val="6"/>
        </w:numPr>
        <w:rPr>
          <w:rFonts w:ascii="Times New Roman" w:cs="Times New Roman" w:eastAsia="Times New Roman" w:hAnsi="Times New Roman"/>
          <w:sz w:val="21"/>
          <w:szCs w:val="21"/>
          <w:b w:val="1"/>
          <w:bCs w:val="1"/>
          <w:color w:val="auto"/>
          <w:vertAlign w:val="superscript"/>
        </w:rPr>
      </w:pPr>
      <w:r>
        <w:rPr>
          <w:rFonts w:ascii="Times New Roman" w:cs="Times New Roman" w:eastAsia="Times New Roman" w:hAnsi="Times New Roman"/>
          <w:sz w:val="16"/>
          <w:szCs w:val="16"/>
          <w:color w:val="auto"/>
        </w:rPr>
        <w:t xml:space="preserve">In connection with the acquisition of ACT Genomics, the remaining shareholders of ACT Genomics were granted put options which allow these remaining shareholders to put their remaining shares to Prenetics under certain conditions. The liabilities arising from such put option are recorded as </w:t>
      </w:r>
      <w:r>
        <w:rPr>
          <w:rFonts w:ascii="Times New Roman" w:cs="Times New Roman" w:eastAsia="Times New Roman" w:hAnsi="Times New Roman"/>
          <w:sz w:val="16"/>
          <w:szCs w:val="16"/>
          <w:i w:val="1"/>
          <w:iCs w:val="1"/>
          <w:color w:val="auto"/>
        </w:rPr>
        <w:t>liabilities for puttable financial instrument</w:t>
      </w:r>
      <w:r>
        <w:rPr>
          <w:rFonts w:ascii="Times New Roman" w:cs="Times New Roman" w:eastAsia="Times New Roman" w:hAnsi="Times New Roman"/>
          <w:sz w:val="16"/>
          <w:szCs w:val="16"/>
          <w:color w:val="auto"/>
        </w:rPr>
        <w:t>, and are valued at the present value of the exercise price of the put option.</w:t>
      </w:r>
    </w:p>
    <w:p>
      <w:pPr>
        <w:spacing w:after="0" w:line="179" w:lineRule="exact"/>
        <w:rPr>
          <w:sz w:val="20"/>
          <w:szCs w:val="20"/>
          <w:color w:val="auto"/>
        </w:rPr>
      </w:pPr>
    </w:p>
    <w:p>
      <w:pPr>
        <w:ind w:left="72" w:hanging="72"/>
        <w:spacing w:after="0"/>
        <w:tabs>
          <w:tab w:leader="none" w:pos="72" w:val="left"/>
        </w:tabs>
        <w:numPr>
          <w:ilvl w:val="0"/>
          <w:numId w:val="7"/>
        </w:numPr>
        <w:rPr>
          <w:rFonts w:ascii="Times New Roman" w:cs="Times New Roman" w:eastAsia="Times New Roman" w:hAnsi="Times New Roman"/>
          <w:sz w:val="21"/>
          <w:szCs w:val="21"/>
          <w:b w:val="1"/>
          <w:bCs w:val="1"/>
          <w:color w:val="auto"/>
          <w:vertAlign w:val="superscript"/>
        </w:rPr>
      </w:pPr>
      <w:r>
        <w:rPr>
          <w:rFonts w:ascii="Times New Roman" w:cs="Times New Roman" w:eastAsia="Times New Roman" w:hAnsi="Times New Roman"/>
          <w:sz w:val="16"/>
          <w:szCs w:val="16"/>
          <w:color w:val="auto"/>
        </w:rPr>
        <w:t>Includes employee equity-settled share-based payment expenses from continuing operations as follows:</w:t>
      </w:r>
    </w:p>
    <w:p>
      <w:pPr>
        <w:spacing w:after="0" w:line="51" w:lineRule="exact"/>
        <w:rPr>
          <w:sz w:val="20"/>
          <w:szCs w:val="20"/>
          <w:color w:val="auto"/>
        </w:rPr>
      </w:pPr>
    </w:p>
    <w:tbl>
      <w:tblPr>
        <w:tblLayout w:type="fixed"/>
        <w:tblInd w:w="272" w:type="dxa"/>
        <w:tblCellMar>
          <w:top w:w="0" w:type="dxa"/>
          <w:left w:w="0" w:type="dxa"/>
          <w:bottom w:w="0" w:type="dxa"/>
          <w:right w:w="0" w:type="dxa"/>
        </w:tblCellMar>
      </w:tblPr>
      <w:tr>
        <w:trPr>
          <w:trHeight w:val="198"/>
        </w:trPr>
        <w:tc>
          <w:tcPr>
            <w:tcW w:w="61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r>
      <w:tr>
        <w:trPr>
          <w:trHeight w:val="205"/>
        </w:trPr>
        <w:tc>
          <w:tcPr>
            <w:tcW w:w="6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4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r>
      <w:tr>
        <w:trPr>
          <w:trHeight w:val="217"/>
        </w:trPr>
        <w:tc>
          <w:tcPr>
            <w:tcW w:w="61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2025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2024</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2024</w:t>
            </w:r>
          </w:p>
        </w:tc>
      </w:tr>
      <w:tr>
        <w:trPr>
          <w:trHeight w:val="213"/>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Direct costs</w:t>
            </w: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3"/>
        </w:trPr>
        <w:tc>
          <w:tcPr>
            <w:tcW w:w="6180" w:type="dxa"/>
            <w:vAlign w:val="bottom"/>
          </w:tcPr>
          <w:p>
            <w:pPr>
              <w:spacing w:after="0"/>
              <w:rPr>
                <w:sz w:val="20"/>
                <w:szCs w:val="20"/>
                <w:color w:val="auto"/>
              </w:rPr>
            </w:pPr>
            <w:r>
              <w:rPr>
                <w:rFonts w:ascii="Times New Roman" w:cs="Times New Roman" w:eastAsia="Times New Roman" w:hAnsi="Times New Roman"/>
                <w:sz w:val="16"/>
                <w:szCs w:val="16"/>
                <w:color w:val="auto"/>
              </w:rPr>
              <w:t>Selling and distribution expenses</w:t>
            </w: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9"/>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758</w:t>
            </w:r>
          </w:p>
        </w:tc>
      </w:tr>
      <w:tr>
        <w:trPr>
          <w:trHeight w:val="213"/>
        </w:trPr>
        <w:tc>
          <w:tcPr>
            <w:tcW w:w="6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Administrative and other operating expenses</w:t>
            </w: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2,049</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1,156</w:t>
            </w:r>
          </w:p>
        </w:tc>
      </w:tr>
      <w:tr>
        <w:trPr>
          <w:trHeight w:val="237"/>
        </w:trPr>
        <w:tc>
          <w:tcPr>
            <w:tcW w:w="6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employee equity-settled share-based payment expenses</w:t>
            </w: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2,752</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1,916</w:t>
            </w: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jc w:val="both"/>
        <w:ind w:left="-8" w:firstLine="8"/>
        <w:spacing w:after="0" w:line="231" w:lineRule="auto"/>
        <w:tabs>
          <w:tab w:leader="none" w:pos="105" w:val="left"/>
        </w:tabs>
        <w:numPr>
          <w:ilvl w:val="0"/>
          <w:numId w:val="8"/>
        </w:numPr>
        <w:rPr>
          <w:rFonts w:ascii="Times New Roman" w:cs="Times New Roman" w:eastAsia="Times New Roman" w:hAnsi="Times New Roman"/>
          <w:sz w:val="21"/>
          <w:szCs w:val="21"/>
          <w:b w:val="1"/>
          <w:bCs w:val="1"/>
          <w:color w:val="auto"/>
          <w:vertAlign w:val="superscript"/>
        </w:rPr>
      </w:pPr>
      <w:r>
        <w:rPr>
          <w:rFonts w:ascii="Times New Roman" w:cs="Times New Roman" w:eastAsia="Times New Roman" w:hAnsi="Times New Roman"/>
          <w:sz w:val="16"/>
          <w:szCs w:val="16"/>
          <w:color w:val="auto"/>
        </w:rPr>
        <w:t xml:space="preserve">We ceased our COVID-19 testing business entirely in 2023 Q2, and other DNA testing operations in the EMEA regions in 2023 Q4. As a result, COVID-19 testing business and the operations in the EMEA regions are reported as a discontinued operation under IFRS 5 </w:t>
      </w:r>
      <w:r>
        <w:rPr>
          <w:rFonts w:ascii="Times New Roman" w:cs="Times New Roman" w:eastAsia="Times New Roman" w:hAnsi="Times New Roman"/>
          <w:sz w:val="16"/>
          <w:szCs w:val="16"/>
          <w:i w:val="1"/>
          <w:iCs w:val="1"/>
          <w:color w:val="auto"/>
        </w:rPr>
        <w:t>Non-current Assets Held for Sale and Discontinued Operations</w:t>
      </w:r>
      <w:r>
        <w:rPr>
          <w:rFonts w:ascii="Times New Roman" w:cs="Times New Roman" w:eastAsia="Times New Roman" w:hAnsi="Times New Roman"/>
          <w:sz w:val="16"/>
          <w:szCs w:val="16"/>
          <w:color w:val="auto"/>
        </w:rPr>
        <w:t>. In accordance with IFRS 5, the results of the discontinued operation have been presented separately from the continuing operations in the consolidated statements of profit or loss and other comprehensive income.</w:t>
      </w:r>
    </w:p>
    <w:sectPr>
      <w:pgSz w:w="11900" w:h="16838" w:orient="portrait"/>
      <w:cols w:equalWidth="0" w:num="1">
        <w:col w:w="11232"/>
      </w:cols>
      <w:pgMar w:left="328" w:top="14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bullet"/>
      <w:start w:val="1"/>
    </w:lvl>
  </w:abstractNum>
  <w:abstractNum w:abstractNumId="3">
    <w:nsid w:val="507ED7AB"/>
    <w:multiLevelType w:val="hybridMultilevel"/>
    <w:lvl w:ilvl="0">
      <w:lvlJc w:val="left"/>
      <w:lvlText w:val="2"/>
      <w:numFmt w:val="bullet"/>
      <w:start w:val="1"/>
    </w:lvl>
  </w:abstractNum>
  <w:abstractNum w:abstractNumId="4">
    <w:nsid w:val="2EB141F2"/>
    <w:multiLevelType w:val="hybridMultilevel"/>
    <w:lvl w:ilvl="0">
      <w:lvlJc w:val="left"/>
      <w:lvlText w:val="3"/>
      <w:numFmt w:val="bullet"/>
      <w:start w:val="1"/>
    </w:lvl>
  </w:abstractNum>
  <w:abstractNum w:abstractNumId="5">
    <w:nsid w:val="41B71EFB"/>
    <w:multiLevelType w:val="hybridMultilevel"/>
    <w:lvl w:ilvl="0">
      <w:lvlJc w:val="left"/>
      <w:lvlText w:val="5"/>
      <w:numFmt w:val="bullet"/>
      <w:start w:val="1"/>
    </w:lvl>
  </w:abstractNum>
  <w:abstractNum w:abstractNumId="6">
    <w:nsid w:val="79E2A9E3"/>
    <w:multiLevelType w:val="hybridMultilevel"/>
    <w:lvl w:ilvl="0">
      <w:lvlJc w:val="left"/>
      <w:lvlText w:val="6"/>
      <w:numFmt w:val="bullet"/>
      <w:start w:val="1"/>
    </w:lvl>
  </w:abstractNum>
  <w:abstractNum w:abstractNumId="7">
    <w:nsid w:val="7545E146"/>
    <w:multiLevelType w:val="hybridMultilevel"/>
    <w:lvl w:ilvl="0">
      <w:lvlJc w:val="left"/>
      <w:lvlText w:val="7"/>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2025-06-12T10:27:35Z</dcterms:created>
  <dcterms:modified xsi:type="dcterms:W3CDTF">2025-06-12T10:27:35Z</dcterms:modified>
</cp:coreProperties>
</file>