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55"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Cheng Yin Pan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40" w:type="dxa"/>
            <w:vAlign w:val="bottom"/>
            <w:tcBorders>
              <w:top w:val="single" w:sz="8" w:color="0000EE"/>
              <w:bottom w:val="single" w:sz="8" w:color="9A9A9A"/>
            </w:tcBorders>
          </w:tcPr>
          <w:p>
            <w:pPr>
              <w:spacing w:after="0"/>
              <w:rPr>
                <w:sz w:val="17"/>
                <w:szCs w:val="17"/>
                <w:color w:val="auto"/>
              </w:rPr>
            </w:pPr>
          </w:p>
        </w:tc>
        <w:tc>
          <w:tcPr>
            <w:tcW w:w="16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03/24/2026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Prenetics Global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PRE</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13" w:lineRule="exact"/>
        <w:rPr>
          <w:sz w:val="24"/>
          <w:szCs w:val="24"/>
          <w:color w:val="auto"/>
        </w:rPr>
      </w:pPr>
    </w:p>
    <w:p>
      <w:pPr>
        <w:sectPr>
          <w:pgSz w:w="11900" w:h="16855" w:orient="portrait"/>
          <w:cols w:equalWidth="0" w:num="2">
            <w:col w:w="4720" w:space="280"/>
            <w:col w:w="5940"/>
          </w:cols>
          <w:pgMar w:left="480" w:top="230" w:right="479" w:bottom="0" w:gutter="0" w:footer="0" w:header="0"/>
          <w:type w:val="continuous"/>
        </w:sectPr>
      </w:pP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980" w:type="dxa"/>
            <w:vAlign w:val="bottom"/>
          </w:tcPr>
          <w:p>
            <w:pPr>
              <w:ind w:left="24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UNIT 703-706, K11 ATELIER</w:t>
            </w:r>
          </w:p>
        </w:tc>
        <w:tc>
          <w:tcPr>
            <w:tcW w:w="0" w:type="dxa"/>
            <w:vAlign w:val="bottom"/>
          </w:tcPr>
          <w:p>
            <w:pPr>
              <w:spacing w:after="0"/>
              <w:rPr>
                <w:sz w:val="1"/>
                <w:szCs w:val="1"/>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728 KINGS ROAD, QUARRY BAY</w:t>
            </w:r>
          </w:p>
        </w:tc>
        <w:tc>
          <w:tcPr>
            <w:tcW w:w="0" w:type="dxa"/>
            <w:vAlign w:val="bottom"/>
          </w:tcPr>
          <w:p>
            <w:pPr>
              <w:spacing w:after="0"/>
              <w:rPr>
                <w:sz w:val="1"/>
                <w:szCs w:val="1"/>
                <w:color w:val="auto"/>
              </w:rPr>
            </w:pPr>
          </w:p>
        </w:tc>
      </w:tr>
      <w:tr>
        <w:trPr>
          <w:trHeight w:val="177"/>
        </w:trPr>
        <w:tc>
          <w:tcPr>
            <w:tcW w:w="82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HONG</w:t>
            </w: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K3</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4"/>
        </w:trPr>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KONG</w:t>
            </w:r>
          </w:p>
        </w:tc>
        <w:tc>
          <w:tcPr>
            <w:tcW w:w="980" w:type="dxa"/>
            <w:vAlign w:val="bottom"/>
            <w:vMerge w:val="continue"/>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82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820" w:type="dxa"/>
            <w:vAlign w:val="bottom"/>
          </w:tcPr>
          <w:p>
            <w:pPr>
              <w:ind w:left="40"/>
              <w:spacing w:after="0"/>
              <w:rPr>
                <w:sz w:val="20"/>
                <w:szCs w:val="20"/>
                <w:color w:val="auto"/>
              </w:rPr>
            </w:pPr>
            <w:r>
              <w:rPr>
                <w:rFonts w:ascii="Arial" w:cs="Arial" w:eastAsia="Arial" w:hAnsi="Arial"/>
                <w:sz w:val="15"/>
                <w:szCs w:val="15"/>
                <w:color w:val="auto"/>
              </w:rPr>
              <w:t>(City)</w:t>
            </w:r>
          </w:p>
        </w:tc>
        <w:tc>
          <w:tcPr>
            <w:tcW w:w="980" w:type="dxa"/>
            <w:vAlign w:val="bottom"/>
          </w:tcPr>
          <w:p>
            <w:pPr>
              <w:ind w:left="24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right="440" w:firstLine="9"/>
        <w:spacing w:after="0" w:line="244" w:lineRule="auto"/>
        <w:tabs>
          <w:tab w:leader="none" w:pos="167"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rPr>
          <w:sz w:val="20"/>
          <w:szCs w:val="20"/>
          <w:color w:val="auto"/>
        </w:rPr>
      </w:pPr>
      <w:r>
        <w:rPr>
          <w:rFonts w:ascii="Times New Roman" w:cs="Times New Roman" w:eastAsia="Times New Roman" w:hAnsi="Times New Roman"/>
          <w:sz w:val="20"/>
          <w:szCs w:val="20"/>
          <w:color w:val="0000FF"/>
        </w:rPr>
        <w:t>03/24/2026</w:t>
      </w:r>
    </w:p>
    <w:p>
      <w:pPr>
        <w:spacing w:after="0" w:line="364" w:lineRule="exact"/>
        <w:rPr>
          <w:sz w:val="24"/>
          <w:szCs w:val="24"/>
          <w:color w:val="auto"/>
        </w:rPr>
      </w:pPr>
    </w:p>
    <w:p>
      <w:pPr>
        <w:ind w:right="480" w:firstLine="9"/>
        <w:spacing w:after="0" w:line="261" w:lineRule="auto"/>
        <w:tabs>
          <w:tab w:leader="none" w:pos="167"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60"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60"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579" w:lineRule="exact"/>
        <w:rPr>
          <w:sz w:val="24"/>
          <w:szCs w:val="24"/>
          <w:color w:val="auto"/>
        </w:rPr>
      </w:pPr>
    </w:p>
    <w:p>
      <w:pPr>
        <w:sectPr>
          <w:pgSz w:w="11900" w:h="16855" w:orient="portrait"/>
          <w:cols w:equalWidth="0" w:num="3">
            <w:col w:w="4277" w:space="720"/>
            <w:col w:w="3003" w:space="260"/>
            <w:col w:w="2680"/>
          </w:cols>
          <w:pgMar w:left="480" w:top="230" w:right="479" w:bottom="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gridSpan w:val="5"/>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80" w:type="dxa"/>
            <w:vAlign w:val="bottom"/>
          </w:tcPr>
          <w:p>
            <w:pPr>
              <w:ind w:left="60"/>
              <w:spacing w:after="0"/>
              <w:rPr>
                <w:sz w:val="20"/>
                <w:szCs w:val="20"/>
                <w:color w:val="auto"/>
              </w:rPr>
            </w:pPr>
            <w:r>
              <w:rPr>
                <w:rFonts w:ascii="Arial" w:cs="Arial" w:eastAsia="Arial" w:hAnsi="Arial"/>
                <w:sz w:val="15"/>
                <w:szCs w:val="15"/>
                <w:b w:val="1"/>
                <w:bCs w:val="1"/>
                <w:color w:val="auto"/>
              </w:rPr>
              <w:t>2. Amount of Securities</w:t>
            </w:r>
          </w:p>
        </w:tc>
        <w:tc>
          <w:tcPr>
            <w:tcW w:w="1440" w:type="dxa"/>
            <w:vAlign w:val="bottom"/>
            <w:gridSpan w:val="3"/>
          </w:tcPr>
          <w:p>
            <w:pPr>
              <w:ind w:left="26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80" w:type="dxa"/>
            <w:vAlign w:val="bottom"/>
          </w:tcPr>
          <w:p>
            <w:pPr>
              <w:ind w:left="60"/>
              <w:spacing w:after="0" w:line="165" w:lineRule="exact"/>
              <w:rPr>
                <w:sz w:val="20"/>
                <w:szCs w:val="20"/>
                <w:color w:val="auto"/>
              </w:rPr>
            </w:pPr>
            <w:r>
              <w:rPr>
                <w:rFonts w:ascii="Arial" w:cs="Arial" w:eastAsia="Arial" w:hAnsi="Arial"/>
                <w:sz w:val="15"/>
                <w:szCs w:val="15"/>
                <w:b w:val="1"/>
                <w:bCs w:val="1"/>
                <w:color w:val="auto"/>
                <w:w w:val="98"/>
              </w:rPr>
              <w:t>Beneficially Owned (Instr.</w:t>
            </w:r>
          </w:p>
        </w:tc>
        <w:tc>
          <w:tcPr>
            <w:tcW w:w="1440" w:type="dxa"/>
            <w:vAlign w:val="bottom"/>
            <w:gridSpan w:val="3"/>
          </w:tcPr>
          <w:p>
            <w:pPr>
              <w:ind w:left="26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4)</w:t>
            </w:r>
          </w:p>
        </w:tc>
        <w:tc>
          <w:tcPr>
            <w:tcW w:w="1440" w:type="dxa"/>
            <w:vAlign w:val="bottom"/>
            <w:gridSpan w:val="3"/>
          </w:tcPr>
          <w:p>
            <w:pPr>
              <w:ind w:left="260"/>
              <w:spacing w:after="0" w:line="165" w:lineRule="exact"/>
              <w:rPr>
                <w:sz w:val="20"/>
                <w:szCs w:val="20"/>
                <w:color w:val="auto"/>
              </w:rPr>
            </w:pPr>
            <w:r>
              <w:rPr>
                <w:rFonts w:ascii="Arial" w:cs="Arial" w:eastAsia="Arial" w:hAnsi="Arial"/>
                <w:sz w:val="15"/>
                <w:szCs w:val="15"/>
                <w:b w:val="1"/>
                <w:bCs w:val="1"/>
                <w:color w:val="auto"/>
              </w:rPr>
              <w:t>(D) or Indirect</w:t>
            </w: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40" w:type="dxa"/>
            <w:vAlign w:val="bottom"/>
            <w:gridSpan w:val="3"/>
          </w:tcPr>
          <w:p>
            <w:pPr>
              <w:ind w:left="260"/>
              <w:spacing w:after="0"/>
              <w:rPr>
                <w:sz w:val="20"/>
                <w:szCs w:val="20"/>
                <w:color w:val="auto"/>
              </w:rPr>
            </w:pPr>
            <w:r>
              <w:rPr>
                <w:rFonts w:ascii="Arial" w:cs="Arial" w:eastAsia="Arial" w:hAnsi="Arial"/>
                <w:sz w:val="15"/>
                <w:szCs w:val="15"/>
                <w:b w:val="1"/>
                <w:bCs w:val="1"/>
                <w:color w:val="auto"/>
              </w:rPr>
              <w:t>(I) (Instr. 5)</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820" w:type="dxa"/>
            <w:vAlign w:val="bottom"/>
            <w:gridSpan w:val="10"/>
            <w:vMerge w:val="restart"/>
          </w:tcPr>
          <w:p>
            <w:pPr>
              <w:ind w:left="80"/>
              <w:spacing w:after="0"/>
              <w:rPr>
                <w:sz w:val="20"/>
                <w:szCs w:val="20"/>
                <w:color w:val="auto"/>
              </w:rPr>
            </w:pPr>
            <w:r>
              <w:rPr>
                <w:rFonts w:ascii="Times New Roman" w:cs="Times New Roman" w:eastAsia="Times New Roman" w:hAnsi="Times New Roman"/>
                <w:sz w:val="20"/>
                <w:szCs w:val="20"/>
                <w:color w:val="0000FF"/>
              </w:rPr>
              <w:t>Class A Ordinary Share, par value $0.0015 per share</w:t>
            </w:r>
          </w:p>
        </w:tc>
        <w:tc>
          <w:tcPr>
            <w:tcW w:w="1880" w:type="dxa"/>
            <w:vAlign w:val="bottom"/>
            <w:vMerge w:val="restart"/>
          </w:tcPr>
          <w:p>
            <w:pPr>
              <w:ind w:left="760"/>
              <w:spacing w:after="0"/>
              <w:rPr>
                <w:sz w:val="20"/>
                <w:szCs w:val="20"/>
                <w:color w:val="auto"/>
              </w:rPr>
            </w:pPr>
            <w:r>
              <w:rPr>
                <w:rFonts w:ascii="Times New Roman" w:cs="Times New Roman" w:eastAsia="Times New Roman" w:hAnsi="Times New Roman"/>
                <w:sz w:val="20"/>
                <w:szCs w:val="20"/>
                <w:color w:val="0000FF"/>
              </w:rPr>
              <w:t>43,178</w:t>
            </w:r>
          </w:p>
        </w:tc>
        <w:tc>
          <w:tcPr>
            <w:tcW w:w="720" w:type="dxa"/>
            <w:vAlign w:val="bottom"/>
          </w:tcPr>
          <w:p>
            <w:pPr>
              <w:spacing w:after="0"/>
              <w:rPr>
                <w:sz w:val="24"/>
                <w:szCs w:val="24"/>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20"/>
                <w:szCs w:val="20"/>
                <w:color w:val="0000FF"/>
              </w:rPr>
              <w:t>I</w:t>
            </w: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By M13 Capital Management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820" w:type="dxa"/>
            <w:vAlign w:val="bottom"/>
            <w:gridSpan w:val="10"/>
            <w:vMerge w:val="continue"/>
          </w:tcPr>
          <w:p>
            <w:pPr>
              <w:spacing w:after="0"/>
              <w:rPr>
                <w:sz w:val="11"/>
                <w:szCs w:val="11"/>
                <w:color w:val="auto"/>
              </w:rPr>
            </w:pPr>
          </w:p>
        </w:tc>
        <w:tc>
          <w:tcPr>
            <w:tcW w:w="188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2780" w:type="dxa"/>
            <w:vAlign w:val="bottom"/>
            <w:gridSpan w:val="4"/>
            <w:vMerge w:val="restart"/>
          </w:tcPr>
          <w:p>
            <w:pPr>
              <w:spacing w:after="0"/>
              <w:rPr>
                <w:sz w:val="20"/>
                <w:szCs w:val="20"/>
                <w:color w:val="auto"/>
              </w:rPr>
            </w:pPr>
            <w:r>
              <w:rPr>
                <w:rFonts w:ascii="Times New Roman" w:cs="Times New Roman" w:eastAsia="Times New Roman" w:hAnsi="Times New Roman"/>
                <w:sz w:val="20"/>
                <w:szCs w:val="20"/>
                <w:color w:val="0000FF"/>
              </w:rPr>
              <w:t>Holdings Limited</w:t>
            </w:r>
            <w:r>
              <w:rPr>
                <w:rFonts w:ascii="Times New Roman" w:cs="Times New Roman" w:eastAsia="Times New Roman" w:hAnsi="Times New Roman"/>
                <w:sz w:val="25"/>
                <w:szCs w:val="25"/>
                <w:color w:val="008000"/>
                <w:vertAlign w:val="superscript"/>
              </w:rPr>
              <w:t>(1)</w:t>
            </w:r>
          </w:p>
        </w:tc>
        <w:tc>
          <w:tcPr>
            <w:tcW w:w="0" w:type="dxa"/>
            <w:vAlign w:val="bottom"/>
          </w:tcPr>
          <w:p>
            <w:pPr>
              <w:spacing w:after="0"/>
              <w:rPr>
                <w:sz w:val="1"/>
                <w:szCs w:val="1"/>
                <w:color w:val="auto"/>
              </w:rPr>
            </w:pPr>
          </w:p>
        </w:tc>
      </w:tr>
      <w:tr>
        <w:trPr>
          <w:trHeight w:val="232"/>
        </w:trPr>
        <w:tc>
          <w:tcPr>
            <w:tcW w:w="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98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120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18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2780" w:type="dxa"/>
            <w:vAlign w:val="bottom"/>
            <w:tcBorders>
              <w:bottom w:val="single" w:sz="8" w:color="2C2C2C"/>
            </w:tcBorders>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98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180" w:type="dxa"/>
            <w:vAlign w:val="bottom"/>
            <w:tcBorders>
              <w:top w:val="single" w:sz="8" w:color="2C2C2C"/>
            </w:tcBorders>
            <w:gridSpan w:val="8"/>
          </w:tcPr>
          <w:p>
            <w:pPr>
              <w:ind w:left="2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2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5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5380" w:type="dxa"/>
            <w:vAlign w:val="bottom"/>
            <w:gridSpan w:val="9"/>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gridSpan w:val="5"/>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00" w:type="dxa"/>
            <w:vAlign w:val="bottom"/>
          </w:tcPr>
          <w:p>
            <w:pPr>
              <w:spacing w:after="0"/>
              <w:rPr>
                <w:sz w:val="18"/>
                <w:szCs w:val="18"/>
                <w:color w:val="auto"/>
              </w:rPr>
            </w:pPr>
          </w:p>
        </w:tc>
        <w:tc>
          <w:tcPr>
            <w:tcW w:w="1860" w:type="dxa"/>
            <w:vAlign w:val="bottom"/>
            <w:gridSpan w:val="4"/>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00" w:type="dxa"/>
            <w:vAlign w:val="bottom"/>
            <w:gridSpan w:val="2"/>
          </w:tcPr>
          <w:p>
            <w:pPr>
              <w:ind w:left="100"/>
              <w:spacing w:after="0"/>
              <w:rPr>
                <w:sz w:val="20"/>
                <w:szCs w:val="20"/>
                <w:color w:val="auto"/>
              </w:rPr>
            </w:pPr>
            <w:r>
              <w:rPr>
                <w:rFonts w:ascii="Arial" w:cs="Arial" w:eastAsia="Arial" w:hAnsi="Arial"/>
                <w:sz w:val="15"/>
                <w:szCs w:val="15"/>
                <w:b w:val="1"/>
                <w:bCs w:val="1"/>
                <w:color w:val="auto"/>
              </w:rPr>
              <w:t>3. Title and Amount of Securities</w:t>
            </w:r>
          </w:p>
        </w:tc>
        <w:tc>
          <w:tcPr>
            <w:tcW w:w="720" w:type="dxa"/>
            <w:vAlign w:val="bottom"/>
            <w:gridSpan w:val="2"/>
          </w:tcPr>
          <w:p>
            <w:pPr>
              <w:ind w:left="140"/>
              <w:spacing w:after="0"/>
              <w:rPr>
                <w:sz w:val="20"/>
                <w:szCs w:val="20"/>
                <w:color w:val="auto"/>
              </w:rPr>
            </w:pPr>
            <w:r>
              <w:rPr>
                <w:rFonts w:ascii="Arial" w:cs="Arial" w:eastAsia="Arial" w:hAnsi="Arial"/>
                <w:sz w:val="15"/>
                <w:szCs w:val="15"/>
                <w:b w:val="1"/>
                <w:bCs w:val="1"/>
                <w:color w:val="auto"/>
              </w:rPr>
              <w:t>4.</w:t>
            </w:r>
          </w:p>
        </w:tc>
        <w:tc>
          <w:tcPr>
            <w:tcW w:w="3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2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0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8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(Instr. 4)</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32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80" w:type="dxa"/>
            <w:vAlign w:val="bottom"/>
          </w:tcPr>
          <w:p>
            <w:pPr>
              <w:spacing w:after="0"/>
              <w:rPr>
                <w:sz w:val="5"/>
                <w:szCs w:val="5"/>
                <w:color w:val="auto"/>
              </w:rPr>
            </w:pPr>
          </w:p>
        </w:tc>
        <w:tc>
          <w:tcPr>
            <w:tcW w:w="72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Amount</w:t>
            </w:r>
          </w:p>
        </w:tc>
        <w:tc>
          <w:tcPr>
            <w:tcW w:w="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860" w:type="dxa"/>
            <w:vAlign w:val="bottom"/>
            <w:gridSpan w:val="3"/>
            <w:vMerge w:val="restart"/>
          </w:tcPr>
          <w:p>
            <w:pPr>
              <w:jc w:val="center"/>
              <w:spacing w:after="0"/>
              <w:rPr>
                <w:sz w:val="20"/>
                <w:szCs w:val="20"/>
                <w:color w:val="auto"/>
              </w:rPr>
            </w:pPr>
            <w:r>
              <w:rPr>
                <w:rFonts w:ascii="Arial" w:cs="Arial" w:eastAsia="Arial" w:hAnsi="Arial"/>
                <w:sz w:val="15"/>
                <w:szCs w:val="15"/>
                <w:b w:val="1"/>
                <w:bCs w:val="1"/>
                <w:color w:val="auto"/>
                <w:w w:val="98"/>
              </w:rPr>
              <w:t>Expiration</w:t>
            </w:r>
          </w:p>
        </w:tc>
        <w:tc>
          <w:tcPr>
            <w:tcW w:w="1880" w:type="dxa"/>
            <w:vAlign w:val="bottom"/>
          </w:tcPr>
          <w:p>
            <w:pPr>
              <w:spacing w:after="0"/>
              <w:rPr>
                <w:sz w:val="14"/>
                <w:szCs w:val="14"/>
                <w:color w:val="auto"/>
              </w:rPr>
            </w:pPr>
          </w:p>
        </w:tc>
        <w:tc>
          <w:tcPr>
            <w:tcW w:w="7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880" w:type="dxa"/>
            <w:vAlign w:val="bottom"/>
          </w:tcPr>
          <w:p>
            <w:pPr>
              <w:spacing w:after="0"/>
              <w:rPr>
                <w:sz w:val="14"/>
                <w:szCs w:val="14"/>
                <w:color w:val="auto"/>
              </w:rPr>
            </w:pPr>
          </w:p>
        </w:tc>
        <w:tc>
          <w:tcPr>
            <w:tcW w:w="7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Number</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6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880" w:type="dxa"/>
            <w:vAlign w:val="bottom"/>
          </w:tcPr>
          <w:p>
            <w:pPr>
              <w:ind w:left="100"/>
              <w:spacing w:after="0"/>
              <w:rPr>
                <w:sz w:val="20"/>
                <w:szCs w:val="20"/>
                <w:color w:val="auto"/>
              </w:rPr>
            </w:pPr>
            <w:r>
              <w:rPr>
                <w:rFonts w:ascii="Arial" w:cs="Arial" w:eastAsia="Arial" w:hAnsi="Arial"/>
                <w:sz w:val="15"/>
                <w:szCs w:val="15"/>
                <w:b w:val="1"/>
                <w:bCs w:val="1"/>
                <w:color w:val="auto"/>
              </w:rPr>
              <w:t>Title</w:t>
            </w:r>
          </w:p>
        </w:tc>
        <w:tc>
          <w:tcPr>
            <w:tcW w:w="720" w:type="dxa"/>
            <w:vAlign w:val="bottom"/>
          </w:tcPr>
          <w:p>
            <w:pPr>
              <w:ind w:left="20"/>
              <w:spacing w:after="0"/>
              <w:rPr>
                <w:sz w:val="20"/>
                <w:szCs w:val="20"/>
                <w:color w:val="auto"/>
              </w:rPr>
            </w:pPr>
            <w:r>
              <w:rPr>
                <w:rFonts w:ascii="Arial" w:cs="Arial" w:eastAsia="Arial" w:hAnsi="Arial"/>
                <w:sz w:val="15"/>
                <w:szCs w:val="15"/>
                <w:b w:val="1"/>
                <w:bCs w:val="1"/>
                <w:color w:val="auto"/>
                <w:w w:val="99"/>
              </w:rPr>
              <w:t>of Shares</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M13 Capital</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8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52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Management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gridSpan w:val="5"/>
            <w:vMerge w:val="restart"/>
          </w:tcPr>
          <w:p>
            <w:pPr>
              <w:ind w:left="80"/>
              <w:spacing w:after="0"/>
              <w:rPr>
                <w:sz w:val="20"/>
                <w:szCs w:val="20"/>
                <w:color w:val="auto"/>
              </w:rPr>
            </w:pPr>
            <w:r>
              <w:rPr>
                <w:rFonts w:ascii="Times New Roman" w:cs="Times New Roman" w:eastAsia="Times New Roman" w:hAnsi="Times New Roman"/>
                <w:sz w:val="20"/>
                <w:szCs w:val="20"/>
                <w:color w:val="0000FF"/>
              </w:rPr>
              <w:t>Restricted Stock Unit</w:t>
            </w:r>
          </w:p>
        </w:tc>
        <w:tc>
          <w:tcPr>
            <w:tcW w:w="120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05/18/2032</w:t>
            </w: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Share, par value</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15,873</w:t>
            </w:r>
          </w:p>
        </w:tc>
        <w:tc>
          <w:tcPr>
            <w:tcW w:w="720" w:type="dxa"/>
            <w:vAlign w:val="bottom"/>
            <w:gridSpan w:val="2"/>
            <w:vMerge w:val="restart"/>
          </w:tcPr>
          <w:p>
            <w:pPr>
              <w:jc w:val="right"/>
              <w:ind w:right="45"/>
              <w:spacing w:after="0"/>
              <w:rPr>
                <w:sz w:val="20"/>
                <w:szCs w:val="20"/>
                <w:color w:val="auto"/>
              </w:rPr>
            </w:pPr>
            <w:r>
              <w:rPr>
                <w:rFonts w:ascii="Times New Roman" w:cs="Times New Roman" w:eastAsia="Times New Roman" w:hAnsi="Times New Roman"/>
                <w:sz w:val="20"/>
                <w:szCs w:val="20"/>
                <w:color w:val="0000FF"/>
              </w:rPr>
              <w:t>0</w:t>
            </w:r>
          </w:p>
        </w:tc>
        <w:tc>
          <w:tcPr>
            <w:tcW w:w="320" w:type="dxa"/>
            <w:vAlign w:val="bottom"/>
          </w:tcPr>
          <w:p>
            <w:pPr>
              <w:spacing w:after="0"/>
              <w:rPr>
                <w:sz w:val="10"/>
                <w:szCs w:val="10"/>
                <w:color w:val="auto"/>
              </w:rPr>
            </w:pP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gridSpan w:val="5"/>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18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52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Holdings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$0.0015 per share</w:t>
            </w: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8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52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Limited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M13 Capital</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8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52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Management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100" w:type="dxa"/>
            <w:vAlign w:val="bottom"/>
            <w:gridSpan w:val="3"/>
            <w:vMerge w:val="restart"/>
          </w:tcPr>
          <w:p>
            <w:pPr>
              <w:ind w:left="80"/>
              <w:spacing w:after="0"/>
              <w:rPr>
                <w:sz w:val="20"/>
                <w:szCs w:val="20"/>
                <w:color w:val="auto"/>
              </w:rPr>
            </w:pPr>
            <w:r>
              <w:rPr>
                <w:rFonts w:ascii="Times New Roman" w:cs="Times New Roman" w:eastAsia="Times New Roman" w:hAnsi="Times New Roman"/>
                <w:sz w:val="20"/>
                <w:szCs w:val="20"/>
                <w:color w:val="0000FF"/>
              </w:rPr>
              <w:t>Warrant</w:t>
            </w:r>
          </w:p>
        </w:tc>
        <w:tc>
          <w:tcPr>
            <w:tcW w:w="4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gridSpan w:val="2"/>
            <w:vMerge w:val="restart"/>
          </w:tcPr>
          <w:p>
            <w:pPr>
              <w:jc w:val="right"/>
              <w:ind w:right="81"/>
              <w:spacing w:after="0"/>
              <w:rPr>
                <w:sz w:val="20"/>
                <w:szCs w:val="20"/>
                <w:color w:val="auto"/>
              </w:rPr>
            </w:pPr>
            <w:r>
              <w:rPr>
                <w:rFonts w:ascii="Times New Roman" w:cs="Times New Roman" w:eastAsia="Times New Roman" w:hAnsi="Times New Roman"/>
                <w:sz w:val="15"/>
                <w:szCs w:val="15"/>
                <w:color w:val="0000FF"/>
              </w:rPr>
              <w:t>06/17/2022</w:t>
            </w:r>
          </w:p>
        </w:tc>
        <w:tc>
          <w:tcPr>
            <w:tcW w:w="8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05/18/2027</w:t>
            </w: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Share, par value</w:t>
            </w:r>
          </w:p>
        </w:tc>
        <w:tc>
          <w:tcPr>
            <w:tcW w:w="720" w:type="dxa"/>
            <w:vAlign w:val="bottom"/>
            <w:vMerge w:val="restart"/>
          </w:tcPr>
          <w:p>
            <w:pPr>
              <w:jc w:val="center"/>
              <w:spacing w:after="0" w:line="240" w:lineRule="exact"/>
              <w:rPr>
                <w:sz w:val="20"/>
                <w:szCs w:val="20"/>
                <w:color w:val="auto"/>
              </w:rPr>
            </w:pPr>
            <w:r>
              <w:rPr>
                <w:rFonts w:ascii="Times New Roman" w:cs="Times New Roman" w:eastAsia="Times New Roman" w:hAnsi="Times New Roman"/>
                <w:sz w:val="20"/>
                <w:szCs w:val="20"/>
                <w:color w:val="0000FF"/>
                <w:w w:val="91"/>
              </w:rPr>
              <w:t>48,816</w:t>
            </w:r>
            <w:r>
              <w:rPr>
                <w:rFonts w:ascii="Times New Roman" w:cs="Times New Roman" w:eastAsia="Times New Roman" w:hAnsi="Times New Roman"/>
                <w:sz w:val="25"/>
                <w:szCs w:val="25"/>
                <w:color w:val="008000"/>
                <w:w w:val="91"/>
                <w:vertAlign w:val="superscript"/>
              </w:rPr>
              <w:t>(3)</w:t>
            </w:r>
          </w:p>
        </w:tc>
        <w:tc>
          <w:tcPr>
            <w:tcW w:w="1040" w:type="dxa"/>
            <w:vAlign w:val="bottom"/>
            <w:gridSpan w:val="3"/>
            <w:vMerge w:val="restart"/>
          </w:tcPr>
          <w:p>
            <w:pPr>
              <w:jc w:val="center"/>
              <w:ind w:right="34"/>
              <w:spacing w:after="0" w:line="240" w:lineRule="exact"/>
              <w:rPr>
                <w:sz w:val="20"/>
                <w:szCs w:val="20"/>
                <w:color w:val="auto"/>
              </w:rPr>
            </w:pPr>
            <w:r>
              <w:rPr>
                <w:rFonts w:ascii="Times New Roman" w:cs="Times New Roman" w:eastAsia="Times New Roman" w:hAnsi="Times New Roman"/>
                <w:sz w:val="20"/>
                <w:szCs w:val="20"/>
                <w:color w:val="0000FF"/>
              </w:rPr>
              <w:t>133.65</w:t>
            </w:r>
            <w:r>
              <w:rPr>
                <w:rFonts w:ascii="Times New Roman" w:cs="Times New Roman" w:eastAsia="Times New Roman" w:hAnsi="Times New Roman"/>
                <w:sz w:val="25"/>
                <w:szCs w:val="25"/>
                <w:color w:val="008000"/>
                <w:vertAlign w:val="superscript"/>
              </w:rPr>
              <w:t>(4)</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4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18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52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Holdings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$0.0015 per share</w:t>
            </w: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8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52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Limited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440" w:type="dxa"/>
            <w:vAlign w:val="bottom"/>
            <w:tcBorders>
              <w:bottom w:val="single" w:sz="8" w:color="2C2C2C"/>
            </w:tcBorders>
            <w:gridSpan w:val="2"/>
          </w:tcPr>
          <w:p>
            <w:pPr>
              <w:spacing w:after="0"/>
              <w:rPr>
                <w:sz w:val="9"/>
                <w:szCs w:val="9"/>
                <w:color w:val="auto"/>
              </w:rPr>
            </w:pPr>
          </w:p>
        </w:tc>
        <w:tc>
          <w:tcPr>
            <w:tcW w:w="1400" w:type="dxa"/>
            <w:vAlign w:val="bottom"/>
            <w:tcBorders>
              <w:bottom w:val="single" w:sz="8" w:color="2C2C2C"/>
            </w:tcBorders>
            <w:gridSpan w:val="2"/>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188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5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3960" w:type="dxa"/>
            <w:vAlign w:val="bottom"/>
            <w:tcBorders>
              <w:top w:val="single" w:sz="8" w:color="2C2C2C"/>
            </w:tcBorders>
            <w:gridSpan w:val="7"/>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26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4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40" w:type="dxa"/>
            <w:vAlign w:val="bottom"/>
            <w:gridSpan w:val="3"/>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Cheng Yin Pan</w:t>
              </w:r>
            </w:hyperlink>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980" w:type="dxa"/>
            <w:vAlign w:val="bottom"/>
            <w:tcBorders>
              <w:top w:val="single" w:sz="8" w:color="0000EE"/>
              <w:bottom w:val="single" w:sz="8" w:color="9A9A9A"/>
            </w:tcBorders>
          </w:tcPr>
          <w:p>
            <w:pPr>
              <w:spacing w:after="0"/>
              <w:rPr>
                <w:sz w:val="17"/>
                <w:szCs w:val="17"/>
                <w:color w:val="auto"/>
              </w:rPr>
            </w:pPr>
          </w:p>
        </w:tc>
        <w:tc>
          <w:tcPr>
            <w:tcW w:w="460" w:type="dxa"/>
            <w:vAlign w:val="bottom"/>
            <w:tcBorders>
              <w:top w:val="single" w:sz="8" w:color="0000EE"/>
              <w:bottom w:val="single" w:sz="8" w:color="9A9A9A"/>
            </w:tcBorders>
          </w:tcPr>
          <w:p>
            <w:pPr>
              <w:spacing w:after="0"/>
              <w:rPr>
                <w:sz w:val="17"/>
                <w:szCs w:val="17"/>
                <w:color w:val="auto"/>
              </w:rPr>
            </w:pPr>
          </w:p>
        </w:tc>
        <w:tc>
          <w:tcPr>
            <w:tcW w:w="120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5"/>
                <w:szCs w:val="15"/>
                <w:color w:val="auto"/>
              </w:rPr>
              <w:t>(Last)</w:t>
            </w:r>
          </w:p>
        </w:tc>
        <w:tc>
          <w:tcPr>
            <w:tcW w:w="1660" w:type="dxa"/>
            <w:vAlign w:val="bottom"/>
            <w:gridSpan w:val="2"/>
          </w:tcPr>
          <w:p>
            <w:pPr>
              <w:ind w:left="400"/>
              <w:spacing w:after="0"/>
              <w:rPr>
                <w:sz w:val="20"/>
                <w:szCs w:val="20"/>
                <w:color w:val="auto"/>
              </w:rPr>
            </w:pPr>
            <w:r>
              <w:rPr>
                <w:rFonts w:ascii="Arial" w:cs="Arial" w:eastAsia="Arial" w:hAnsi="Arial"/>
                <w:sz w:val="15"/>
                <w:szCs w:val="15"/>
                <w:color w:val="auto"/>
              </w:rPr>
              <w:t>(First)</w:t>
            </w:r>
          </w:p>
        </w:tc>
        <w:tc>
          <w:tcPr>
            <w:tcW w:w="1200" w:type="dxa"/>
            <w:vAlign w:val="bottom"/>
            <w:gridSpan w:val="2"/>
          </w:tcPr>
          <w:p>
            <w:pPr>
              <w:ind w:left="120"/>
              <w:spacing w:after="0"/>
              <w:rPr>
                <w:sz w:val="20"/>
                <w:szCs w:val="20"/>
                <w:color w:val="auto"/>
              </w:rPr>
            </w:pPr>
            <w:r>
              <w:rPr>
                <w:rFonts w:ascii="Arial" w:cs="Arial" w:eastAsia="Arial" w:hAnsi="Arial"/>
                <w:sz w:val="15"/>
                <w:szCs w:val="15"/>
                <w:color w:val="auto"/>
              </w:rPr>
              <w:t>(Middle)</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UNIT 703-706, K11 ATELIER</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728 KINGS ROAD, QUARRY BAY</w:t>
      </w:r>
    </w:p>
    <w:p>
      <w:pPr>
        <w:spacing w:after="0" w:line="326"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1500" w:val="left"/>
        </w:tabs>
        <w:rPr>
          <w:sz w:val="20"/>
          <w:szCs w:val="20"/>
          <w:color w:val="auto"/>
        </w:rPr>
      </w:pPr>
      <w:r>
        <w:rPr>
          <w:rFonts w:ascii="Times New Roman" w:cs="Times New Roman" w:eastAsia="Times New Roman" w:hAnsi="Times New Roman"/>
          <w:sz w:val="20"/>
          <w:szCs w:val="20"/>
          <w:color w:val="0000FF"/>
        </w:rPr>
        <w:t>HONG KONG</w:t>
      </w:r>
      <w:r>
        <w:rPr>
          <w:sz w:val="20"/>
          <w:szCs w:val="20"/>
          <w:color w:val="auto"/>
        </w:rPr>
        <w:tab/>
      </w:r>
      <w:r>
        <w:rPr>
          <w:rFonts w:ascii="Times New Roman" w:cs="Times New Roman" w:eastAsia="Times New Roman" w:hAnsi="Times New Roman"/>
          <w:sz w:val="18"/>
          <w:szCs w:val="18"/>
          <w:color w:val="0000FF"/>
        </w:rPr>
        <w:t>K3</w:t>
      </w:r>
    </w:p>
    <w:p>
      <w:pPr>
        <w:spacing w:after="0" w:line="371" w:lineRule="exact"/>
        <w:rPr>
          <w:sz w:val="24"/>
          <w:szCs w:val="24"/>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66" w:lineRule="exact"/>
        <w:rPr>
          <w:sz w:val="24"/>
          <w:szCs w:val="24"/>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2">
        <w:r>
          <w:rPr>
            <w:rFonts w:ascii="Times New Roman" w:cs="Times New Roman" w:eastAsia="Times New Roman" w:hAnsi="Times New Roman"/>
            <w:sz w:val="24"/>
            <w:szCs w:val="24"/>
            <w:u w:val="single" w:color="auto"/>
            <w:color w:val="0000EE"/>
          </w:rPr>
          <w:t>M13 Capital Management Holdings Ltd</w:t>
        </w:r>
      </w:hyperlink>
    </w:p>
    <w:p>
      <w:pPr>
        <w:sectPr>
          <w:pgSz w:w="11900" w:h="16855" w:orient="portrait"/>
          <w:cols w:equalWidth="0" w:num="1">
            <w:col w:w="10940"/>
          </w:cols>
          <w:pgMar w:left="480" w:top="230" w:right="479" w:bottom="0" w:gutter="0" w:footer="0" w:header="0"/>
          <w:type w:val="continuous"/>
        </w:sectPr>
      </w:pPr>
    </w:p>
    <w:p>
      <w:pPr>
        <w:spacing w:after="0" w:line="343" w:lineRule="exact"/>
        <w:rPr>
          <w:sz w:val="24"/>
          <w:szCs w:val="24"/>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ectPr>
          <w:pgSz w:w="11900" w:h="16855" w:orient="portrait"/>
          <w:cols w:equalWidth="0" w:num="1">
            <w:col w:w="10940"/>
          </w:cols>
          <w:pgMar w:left="480" w:top="230" w:right="47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20"/>
          <w:szCs w:val="20"/>
          <w:color w:val="0000FF"/>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1746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2798445" cy="1746885"/>
                    </a:xfrm>
                    <a:prstGeom prst="rect">
                      <a:avLst/>
                    </a:prstGeom>
                    <a:noFill/>
                  </pic:spPr>
                </pic:pic>
              </a:graphicData>
            </a:graphic>
          </wp:anchor>
        </w:drawing>
        <w:t>PORTCULLIS CHAMBERS, ELLEN SKELTON</w:t>
      </w:r>
    </w:p>
    <w:p>
      <w:pPr>
        <w:spacing w:after="0" w:line="2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BLDG</w:t>
      </w:r>
    </w:p>
    <w:p>
      <w:pPr>
        <w:spacing w:after="0" w:line="5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3076 SIR FRANCIS DRAKE HIGHWAY</w:t>
      </w:r>
    </w:p>
    <w:p>
      <w:pPr>
        <w:spacing w:after="0" w:line="326" w:lineRule="exact"/>
        <w:rPr>
          <w:sz w:val="20"/>
          <w:szCs w:val="20"/>
          <w:color w:val="auto"/>
        </w:rPr>
      </w:pPr>
    </w:p>
    <w:p>
      <w:pPr>
        <w:ind w:left="60"/>
        <w:spacing w:after="0"/>
        <w:rPr>
          <w:sz w:val="20"/>
          <w:szCs w:val="20"/>
          <w:color w:val="auto"/>
        </w:rPr>
      </w:pPr>
      <w:r>
        <w:rPr>
          <w:rFonts w:ascii="Arial" w:cs="Arial" w:eastAsia="Arial" w:hAnsi="Arial"/>
          <w:sz w:val="15"/>
          <w:szCs w:val="15"/>
          <w:color w:val="auto"/>
        </w:rPr>
        <w:t>(Street)</w:t>
      </w:r>
    </w:p>
    <w:p>
      <w:pPr>
        <w:spacing w:after="0" w:line="3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ROAD TOWN,</w:t>
      </w:r>
    </w:p>
    <w:p>
      <w:pPr>
        <w:spacing w:after="0" w:line="24" w:lineRule="exact"/>
        <w:rPr>
          <w:sz w:val="20"/>
          <w:szCs w:val="20"/>
          <w:color w:val="auto"/>
        </w:rPr>
      </w:pPr>
    </w:p>
    <w:p>
      <w:pPr>
        <w:ind w:left="100"/>
        <w:spacing w:after="0"/>
        <w:tabs>
          <w:tab w:leader="none" w:pos="1460" w:val="left"/>
        </w:tabs>
        <w:rPr>
          <w:sz w:val="20"/>
          <w:szCs w:val="20"/>
          <w:color w:val="auto"/>
        </w:rPr>
      </w:pPr>
      <w:r>
        <w:rPr>
          <w:rFonts w:ascii="Times New Roman" w:cs="Times New Roman" w:eastAsia="Times New Roman" w:hAnsi="Times New Roman"/>
          <w:sz w:val="20"/>
          <w:szCs w:val="20"/>
          <w:color w:val="0000FF"/>
        </w:rPr>
        <w:t>TORTOLA,</w:t>
      </w:r>
      <w:r>
        <w:rPr>
          <w:sz w:val="20"/>
          <w:szCs w:val="20"/>
          <w:color w:val="auto"/>
        </w:rPr>
        <w:tab/>
      </w:r>
      <w:r>
        <w:rPr>
          <w:rFonts w:ascii="Times New Roman" w:cs="Times New Roman" w:eastAsia="Times New Roman" w:hAnsi="Times New Roman"/>
          <w:sz w:val="20"/>
          <w:szCs w:val="20"/>
          <w:color w:val="0000FF"/>
        </w:rPr>
        <w:t>D8</w:t>
      </w:r>
    </w:p>
    <w:p>
      <w:pPr>
        <w:spacing w:after="0" w:line="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VG1110</w:t>
      </w:r>
    </w:p>
    <w:p>
      <w:pPr>
        <w:spacing w:after="0" w:line="358" w:lineRule="exact"/>
        <w:rPr>
          <w:sz w:val="20"/>
          <w:szCs w:val="20"/>
          <w:color w:val="auto"/>
        </w:rPr>
      </w:pPr>
    </w:p>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left="160" w:hanging="155"/>
        <w:spacing w:after="0"/>
        <w:tabs>
          <w:tab w:leader="none" w:pos="16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M13 Capital Management Holdings Limited is a British Virgin Islands company wholly owned by Cheng Yin Pan.</w:t>
      </w:r>
    </w:p>
    <w:p>
      <w:pPr>
        <w:spacing w:after="0" w:line="52" w:lineRule="exact"/>
        <w:rPr>
          <w:rFonts w:ascii="Times New Roman" w:cs="Times New Roman" w:eastAsia="Times New Roman" w:hAnsi="Times New Roman"/>
          <w:sz w:val="15"/>
          <w:szCs w:val="15"/>
          <w:color w:val="008000"/>
        </w:rPr>
      </w:pPr>
    </w:p>
    <w:p>
      <w:pPr>
        <w:ind w:right="20" w:firstLine="5"/>
        <w:spacing w:after="0" w:line="239"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of the 15,873 Restricted Stock Units ("RSUs"), granted under the Issuer's 2022 Share Incentive Plan, represents the contingent right to receive one Class A Ordinary Share. The RSUs vest in accordance with the following schedule, subject to continued service: May 17, 2026: 15,873 (15,873 Class A Ordinary Shares). M13 Capital Management Holdings Limited's vested RSUs are not automatically settled upon vesting. Settlement and delivery of Class A Ordinary Shares in respect of vested RSUs occurs at Cheng Yin Pan's election, in accordance with the Issuer's insider trading policy.</w:t>
      </w:r>
    </w:p>
    <w:p>
      <w:pPr>
        <w:spacing w:after="0" w:line="33" w:lineRule="exact"/>
        <w:rPr>
          <w:rFonts w:ascii="Times New Roman" w:cs="Times New Roman" w:eastAsia="Times New Roman" w:hAnsi="Times New Roman"/>
          <w:sz w:val="15"/>
          <w:szCs w:val="15"/>
          <w:color w:val="008000"/>
        </w:rPr>
      </w:pPr>
    </w:p>
    <w:p>
      <w:pPr>
        <w:ind w:right="300" w:firstLine="5"/>
        <w:spacing w:after="0" w:line="244"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M13 Capital Management Holdings Limited holds 567,626 warrants, each exercisable for 1.29 Class A Ordinary Shares at an exercise price of $133.65 per 1.29 Class A Ordinary Shares, which were issued in connection with the Issuer's initial business combination completed on May 18, 2022. Following the Issuer's 1-for-15 reverse stock split effected on November 14, 2023, the 567,626 warrants are exercisable for a total of 48,816 Class A Ordinary Shares.</w:t>
      </w:r>
    </w:p>
    <w:p>
      <w:pPr>
        <w:spacing w:after="0" w:line="29" w:lineRule="exact"/>
        <w:rPr>
          <w:rFonts w:ascii="Times New Roman" w:cs="Times New Roman" w:eastAsia="Times New Roman" w:hAnsi="Times New Roman"/>
          <w:sz w:val="15"/>
          <w:szCs w:val="15"/>
          <w:color w:val="008000"/>
        </w:rPr>
      </w:pPr>
    </w:p>
    <w:p>
      <w:pPr>
        <w:ind w:right="320" w:firstLine="5"/>
        <w:spacing w:after="0" w:line="270" w:lineRule="auto"/>
        <w:tabs>
          <w:tab w:leader="none" w:pos="150" w:val="left"/>
        </w:tabs>
        <w:numPr>
          <w:ilvl w:val="0"/>
          <w:numId w:val="4"/>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Exercise price of $133.65 per 1.29 Class A Ordinary Shares (or an effective price of $103.60 per Class A Ordinary Share), subject to adjustment pursuant to the terms of the Assignment, Assumption and Amendment Agreement, dated September 15, 2021, by and among Prenetics Global Limited, Artisan Acquisition Corp. and Continental Stock Transfer &amp; Trust Company, and the Warrant Agreement, dated May 13, 2021, by and between Artisan Acquisition Corp. and Continental Stock Transfer &amp; Trust Company.</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0"/>
          <w:szCs w:val="20"/>
          <w:color w:val="auto"/>
        </w:rPr>
      </w:pPr>
    </w:p>
    <w:p>
      <w:pPr>
        <w:jc w:val="both"/>
        <w:ind w:right="80"/>
        <w:spacing w:after="0" w:line="244" w:lineRule="auto"/>
        <w:rPr>
          <w:sz w:val="20"/>
          <w:szCs w:val="20"/>
          <w:color w:val="auto"/>
        </w:rPr>
      </w:pPr>
      <w:r>
        <w:rPr>
          <w:rFonts w:ascii="Times New Roman" w:cs="Times New Roman" w:eastAsia="Times New Roman" w:hAnsi="Times New Roman"/>
          <w:sz w:val="15"/>
          <w:szCs w:val="15"/>
          <w:color w:val="008000"/>
        </w:rPr>
        <w:t>This Amendment No. 1 to Cheng Yin Pan's and M13 Capital Management Holdings Limited's initial statement of beneficial ownership of securities on Form 3, filed with the SEC on March 24, 2026, is being filed solely to correct an inadvertent error in the originally filed Form 3, which misstated the number of Class A Ordinary Shares held and omitted the warrant holding. No transactions are being reported.</w:t>
      </w:r>
    </w:p>
    <w:p>
      <w:pPr>
        <w:sectPr>
          <w:pgSz w:w="11900" w:h="16838" w:orient="portrait"/>
          <w:cols w:equalWidth="0" w:num="1">
            <w:col w:w="10820"/>
          </w:cols>
          <w:pgMar w:left="520" w:top="169" w:right="559" w:bottom="1440" w:gutter="0" w:footer="0" w:header="0"/>
        </w:sectPr>
      </w:pPr>
    </w:p>
    <w:p>
      <w:pPr>
        <w:spacing w:after="0" w:line="5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 Stephen Hoi Chun 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26301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126301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as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8013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108013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Cheng Yin 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74993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4993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 Stephen Hoi Chun 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26301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26301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as attorney-in-fact for M13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4493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34493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35685"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03568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Holdings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7757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87757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05/28/2026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05/28/2026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446" w:lineRule="exact"/>
        <w:rPr>
          <w:sz w:val="20"/>
          <w:szCs w:val="20"/>
          <w:color w:val="auto"/>
        </w:rPr>
      </w:pPr>
    </w:p>
    <w:p>
      <w:pPr>
        <w:sectPr>
          <w:pgSz w:w="11900" w:h="16838" w:orient="portrait"/>
          <w:cols w:equalWidth="0" w:num="2">
            <w:col w:w="8660" w:space="60"/>
            <w:col w:w="2100"/>
          </w:cols>
          <w:pgMar w:left="520" w:top="169" w:right="55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69"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6"/>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10" Type="http://schemas.openxmlformats.org/officeDocument/2006/relationships/hyperlink" Target="http://www.sec.gov/cgi-bin/browse-edgar?action=getcompany&amp;CIK=0001844918" TargetMode="External"/><Relationship Id="rId11" Type="http://schemas.openxmlformats.org/officeDocument/2006/relationships/hyperlink" Target="http://www.sec.gov/cgi-bin/browse-edgar?action=getcompany&amp;CIK=0001876431" TargetMode="External"/><Relationship Id="rId12" Type="http://schemas.openxmlformats.org/officeDocument/2006/relationships/hyperlink" Target="http://www.sec.gov/cgi-bin/browse-edgar?action=getcompany&amp;CIK=00021179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2026-05-28T09:41:19Z</dcterms:created>
  <dcterms:modified xsi:type="dcterms:W3CDTF">2026-05-28T09:41:19Z</dcterms:modified>
</cp:coreProperties>
</file>