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780" w:type="dxa"/>
            <w:vAlign w:val="bottom"/>
          </w:tcPr>
          <w:p>
            <w:pPr>
              <w:spacing w:after="0"/>
              <w:rPr>
                <w:sz w:val="24"/>
                <w:szCs w:val="24"/>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32"/>
                <w:szCs w:val="32"/>
                <w:b w:val="1"/>
                <w:bCs w:val="1"/>
                <w:color w:val="auto"/>
              </w:rPr>
              <w:t>Prenetics Global Limited</w:t>
            </w:r>
          </w:p>
        </w:tc>
        <w:tc>
          <w:tcPr>
            <w:tcW w:w="0" w:type="dxa"/>
            <w:vAlign w:val="bottom"/>
          </w:tcPr>
          <w:p>
            <w:pPr>
              <w:spacing w:after="0"/>
              <w:rPr>
                <w:sz w:val="1"/>
                <w:szCs w:val="1"/>
                <w:color w:val="auto"/>
              </w:rPr>
            </w:pPr>
          </w:p>
        </w:tc>
      </w:tr>
      <w:tr>
        <w:trPr>
          <w:trHeight w:val="192"/>
        </w:trPr>
        <w:tc>
          <w:tcPr>
            <w:tcW w:w="17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8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Unit 703-706, K11 Atelier</w:t>
            </w:r>
          </w:p>
        </w:tc>
        <w:tc>
          <w:tcPr>
            <w:tcW w:w="0" w:type="dxa"/>
            <w:vAlign w:val="bottom"/>
          </w:tcPr>
          <w:p>
            <w:pPr>
              <w:spacing w:after="0"/>
              <w:rPr>
                <w:sz w:val="1"/>
                <w:szCs w:val="1"/>
                <w:color w:val="auto"/>
              </w:rPr>
            </w:pPr>
          </w:p>
        </w:tc>
      </w:tr>
      <w:tr>
        <w:trPr>
          <w:trHeight w:val="486"/>
        </w:trPr>
        <w:tc>
          <w:tcPr>
            <w:tcW w:w="1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870"/>
              <w:spacing w:after="0" w:line="176" w:lineRule="exact"/>
              <w:rPr>
                <w:sz w:val="20"/>
                <w:szCs w:val="20"/>
                <w:color w:val="auto"/>
              </w:rPr>
            </w:pPr>
            <w:r>
              <w:rPr>
                <w:rFonts w:ascii="Times New Roman" w:cs="Times New Roman" w:eastAsia="Times New Roman" w:hAnsi="Times New Roman"/>
                <w:sz w:val="18"/>
                <w:szCs w:val="18"/>
                <w:b w:val="1"/>
                <w:bCs w:val="1"/>
                <w:color w:val="auto"/>
              </w:rPr>
              <w:t>728 King’s Road, Quarry Bay</w:t>
            </w:r>
          </w:p>
        </w:tc>
        <w:tc>
          <w:tcPr>
            <w:tcW w:w="0" w:type="dxa"/>
            <w:vAlign w:val="bottom"/>
          </w:tcPr>
          <w:p>
            <w:pPr>
              <w:spacing w:after="0"/>
              <w:rPr>
                <w:sz w:val="1"/>
                <w:szCs w:val="1"/>
                <w:color w:val="auto"/>
              </w:rPr>
            </w:pPr>
          </w:p>
        </w:tc>
      </w:tr>
      <w:tr>
        <w:trPr>
          <w:trHeight w:val="238"/>
        </w:trPr>
        <w:tc>
          <w:tcPr>
            <w:tcW w:w="17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0" w:type="dxa"/>
            <w:vAlign w:val="bottom"/>
          </w:tcPr>
          <w:p>
            <w:pPr>
              <w:spacing w:after="0"/>
              <w:rPr>
                <w:sz w:val="1"/>
                <w:szCs w:val="1"/>
                <w:color w:val="auto"/>
              </w:rPr>
            </w:pPr>
          </w:p>
        </w:tc>
      </w:tr>
      <w:tr>
        <w:trPr>
          <w:trHeight w:val="531"/>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(Addresses of principal executive offices)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Report on Form 6-K (this “Report”), shall be deemed to be incorporated by reference into the registration statements on Form F-3 (File nos. 333-274762, 333-276538 and 333-288824) and Form S-8 (File Nos. 333-279019, 333-271552 and 333-267956) of Prenetics Global Limited (the "Company") (including any prospectuses forming a part of such registration statements) and to be a part thereof from the date on which this Report is furnished, to the extent not superseded by documents or reports subsequently filed or furnished.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hereby furnishes the press release announcing its unaudited financial results for the third quarter ended September 30, 2025, which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32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Announces Third Quarter 2025 Financial Results</w:t>
            </w:r>
          </w:p>
        </w:tc>
        <w:tc>
          <w:tcPr>
            <w:tcW w:w="3640" w:type="dxa"/>
            <w:vAlign w:val="bottom"/>
            <w:tcBorders>
              <w:top w:val="single" w:sz="8" w:color="auto"/>
            </w:tcBorders>
          </w:tcPr>
          <w:p>
            <w:pPr>
              <w:spacing w:after="0"/>
              <w:rPr>
                <w:sz w:val="16"/>
                <w:szCs w:val="16"/>
                <w:color w:val="auto"/>
              </w:rPr>
            </w:pPr>
          </w:p>
        </w:tc>
      </w:tr>
    </w:tbl>
    <w:p>
      <w:pPr>
        <w:sectPr>
          <w:pgSz w:w="11900" w:h="16838" w:orient="portrait"/>
          <w:cols w:equalWidth="0" w:num="1">
            <w:col w:w="11240"/>
          </w:cols>
          <w:pgMar w:left="320" w:top="13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9377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line="227" w:lineRule="auto"/>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Reports Record Third Quarter 2025 Results; IM8 on Track for $120M ARR</w:t>
      </w:r>
      <w:r>
        <w:rPr>
          <w:rFonts w:ascii="Times New Roman" w:cs="Times New Roman" w:eastAsia="Times New Roman" w:hAnsi="Times New Roman"/>
          <w:sz w:val="32"/>
          <w:szCs w:val="32"/>
          <w:b w:val="1"/>
          <w:bCs w:val="1"/>
          <w:color w:val="auto"/>
          <w:vertAlign w:val="superscript"/>
        </w:rPr>
        <w:t>1</w:t>
      </w:r>
      <w:r>
        <w:rPr>
          <w:rFonts w:ascii="Times New Roman" w:cs="Times New Roman" w:eastAsia="Times New Roman" w:hAnsi="Times New Roman"/>
          <w:sz w:val="25"/>
          <w:szCs w:val="25"/>
          <w:b w:val="1"/>
          <w:bCs w:val="1"/>
          <w:color w:val="auto"/>
        </w:rPr>
        <w:t xml:space="preserve"> by December 2025, Fastest Supplement Brand Growth in Industry History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Total Revenue Surges 568% YoY to $23.6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IM8 Monthly Revenue Hits Record US$9 million in October; Bitcoin Treasury Reaches 387 BTC (~$40M);</w:t>
      </w:r>
    </w:p>
    <w:p>
      <w:pPr>
        <w:spacing w:after="0" w:line="239" w:lineRule="exact"/>
        <w:rPr>
          <w:sz w:val="20"/>
          <w:szCs w:val="20"/>
          <w:color w:val="auto"/>
        </w:rPr>
      </w:pPr>
    </w:p>
    <w:p>
      <w:pPr>
        <w:ind w:left="1900" w:right="1820" w:hanging="60"/>
        <w:spacing w:after="0" w:line="580" w:lineRule="auto"/>
        <w:rPr>
          <w:sz w:val="20"/>
          <w:szCs w:val="20"/>
          <w:color w:val="auto"/>
        </w:rPr>
      </w:pPr>
      <w:r>
        <w:rPr>
          <w:rFonts w:ascii="Times New Roman" w:cs="Times New Roman" w:eastAsia="Times New Roman" w:hAnsi="Times New Roman"/>
          <w:sz w:val="17"/>
          <w:szCs w:val="17"/>
          <w:i w:val="1"/>
          <w:iCs w:val="1"/>
          <w:color w:val="auto"/>
        </w:rPr>
        <w:t>IM8 Projects $180 - $200M FY 2026 Revenue, $25M Monthly Revenue or $300M ARR by Year End 2026 IM8 Delivers 60% Gross Margin, 3.9 Months Payback Period, Demonstrating Strong Unit Economics Company to Host Earnings Call Today at 8:30am ET, Releases Inaugural Quarterly Shareholder Letter</w:t>
      </w: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CHARLOTTE, N.C., November 10, 2025 </w:t>
      </w:r>
      <w:r>
        <w:rPr>
          <w:rFonts w:ascii="Times New Roman" w:cs="Times New Roman" w:eastAsia="Times New Roman" w:hAnsi="Times New Roman"/>
          <w:sz w:val="16"/>
          <w:szCs w:val="16"/>
          <w:color w:val="auto"/>
        </w:rPr>
        <w:t>– Prenetics Global Limited (NASDAQ: PRE) ("Prenetics" or the "Company"), a leading health sciences company and parent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IM8 premium health and longevity brand, today announced third quarter 2025 financial results, highlighted by IM8's trajectory towards $120 million in annualized recurring revenue (“ARR”) in just 12 months by December 2025. This unprecedented growth positions IM8 as having the fastest growth trajectory ever recorded in the global supplements industry, outpacing several leading AI startups.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record-breaking performance comes on the heels of Prenetics' successful $44 million equity offering completed in October 2025, which attracted high-quality strategic investors including Kraken, Exodus (NYSE: EXOD), XtalPi (2228.HK), DL Holdings (1709.HK), Jihan Wu's GPTX, and World No. 1 tennis champion Aryna Sabalenka, positioning the Company for accelerated global expansion.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IM8: Redefining Industry Growth Standards with Global Reach</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IM8's extraordinary trajectory reached new heights in October 2025, delivering approximately $9.0 million in monthly revenue – representing 36% month-over-month growth from September's $6.6 million. With this momentum, IM8 is on track to achieve $10 million in monthly revenue by December 2025, translating to a $120 million ARR run rate in just 12 months from launch.</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brand has achieved truly global scale with 420,000+ customer purchases across 31 countries worldwide. International markets now represent 56.5% of IM8’s revenue, with the top five markets being:</w:t>
      </w:r>
    </w:p>
    <w:p>
      <w:pPr>
        <w:spacing w:after="0" w:line="20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States (43.5% of revenue)</w:t>
      </w:r>
    </w:p>
    <w:p>
      <w:pPr>
        <w:spacing w:after="0" w:line="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Canada</w:t>
      </w:r>
    </w:p>
    <w:p>
      <w:pPr>
        <w:spacing w:after="0" w:line="5" w:lineRule="exact"/>
        <w:rPr>
          <w:rFonts w:ascii="Times New Roman" w:cs="Times New Roman" w:eastAsia="Times New Roman" w:hAnsi="Times New Roman"/>
          <w:sz w:val="16"/>
          <w:szCs w:val="16"/>
          <w:color w:val="auto"/>
        </w:rPr>
      </w:pPr>
    </w:p>
    <w:p>
      <w:pPr>
        <w:ind w:left="660" w:hanging="328"/>
        <w:spacing w:after="0" w:line="228"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Kingdom</w:t>
      </w:r>
    </w:p>
    <w:p>
      <w:pPr>
        <w:ind w:left="660" w:hanging="328"/>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Australia</w:t>
      </w:r>
    </w:p>
    <w:p>
      <w:pPr>
        <w:spacing w:after="0" w:line="5"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Singapore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line with our growth trajectory, we are introducing key performance indicators to track and communicate our performance more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2138045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8"/>
        <w:spacing w:after="0" w:line="222" w:lineRule="auto"/>
        <w:tabs>
          <w:tab w:leader="none" w:pos="9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“ARR” refers to annualized recurring revenue, which is is a non-IFRS financial measure calculated by multiplying the monthly revenue from a given month by 12. Refer to “</w:t>
      </w:r>
      <w:r>
        <w:rPr>
          <w:rFonts w:ascii="Times New Roman" w:cs="Times New Roman" w:eastAsia="Times New Roman" w:hAnsi="Times New Roman"/>
          <w:sz w:val="14"/>
          <w:szCs w:val="14"/>
          <w:i w:val="1"/>
          <w:iCs w:val="1"/>
          <w:color w:val="auto"/>
        </w:rPr>
        <w:t>Unaudited Non-IFRS Financial Measures</w:t>
      </w:r>
      <w:r>
        <w:rPr>
          <w:rFonts w:ascii="Times New Roman" w:cs="Times New Roman" w:eastAsia="Times New Roman" w:hAnsi="Times New Roman"/>
          <w:sz w:val="14"/>
          <w:szCs w:val="14"/>
          <w:color w:val="auto"/>
        </w:rPr>
        <w:t>” for more details regarding the Company’s use of this non-IFRS financial measure.</w:t>
      </w:r>
    </w:p>
    <w:p>
      <w:pPr>
        <w:sectPr>
          <w:pgSz w:w="11900" w:h="16838" w:orient="portrait"/>
          <w:cols w:equalWidth="0" w:num="1">
            <w:col w:w="11240"/>
          </w:cols>
          <w:pgMar w:left="320" w:top="138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IM8 - Key Performance Indicators (Q3 2025 vs Q2 2025, unless otherwise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2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2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Growth</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Monthly Revenue (End of Period)</w:t>
            </w:r>
          </w:p>
        </w:tc>
        <w:tc>
          <w:tcPr>
            <w:tcW w:w="2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$6.6 million</w:t>
            </w:r>
          </w:p>
        </w:tc>
        <w:tc>
          <w:tcPr>
            <w:tcW w:w="1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$4.5 million</w:t>
            </w:r>
          </w:p>
        </w:tc>
        <w:tc>
          <w:tcPr>
            <w:tcW w:w="2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Quarterly Revenue</w:t>
            </w:r>
          </w:p>
        </w:tc>
        <w:tc>
          <w:tcPr>
            <w:tcW w:w="2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$17.2 million</w:t>
            </w:r>
          </w:p>
        </w:tc>
        <w:tc>
          <w:tcPr>
            <w:tcW w:w="1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$9.8 million</w:t>
            </w:r>
          </w:p>
        </w:tc>
        <w:tc>
          <w:tcPr>
            <w:tcW w:w="2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Customer Orders</w:t>
            </w:r>
          </w:p>
        </w:tc>
        <w:tc>
          <w:tcPr>
            <w:tcW w:w="2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160,000+</w:t>
            </w:r>
          </w:p>
        </w:tc>
        <w:tc>
          <w:tcPr>
            <w:tcW w:w="1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90,000+</w:t>
            </w:r>
          </w:p>
        </w:tc>
        <w:tc>
          <w:tcPr>
            <w:tcW w:w="2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Servings Delivered</w:t>
            </w:r>
          </w:p>
        </w:tc>
        <w:tc>
          <w:tcPr>
            <w:tcW w:w="2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4.8 million+</w:t>
            </w:r>
          </w:p>
        </w:tc>
        <w:tc>
          <w:tcPr>
            <w:tcW w:w="1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2.7 million+</w:t>
            </w:r>
          </w:p>
        </w:tc>
        <w:tc>
          <w:tcPr>
            <w:tcW w:w="2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Customer Average Order Value</w:t>
            </w:r>
          </w:p>
        </w:tc>
        <w:tc>
          <w:tcPr>
            <w:tcW w:w="2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$150 (October)</w:t>
            </w:r>
          </w:p>
        </w:tc>
        <w:tc>
          <w:tcPr>
            <w:tcW w:w="1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$110</w:t>
            </w:r>
          </w:p>
        </w:tc>
        <w:tc>
          <w:tcPr>
            <w:tcW w:w="2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Customer Subscription Rate</w:t>
            </w:r>
          </w:p>
        </w:tc>
        <w:tc>
          <w:tcPr>
            <w:tcW w:w="2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~80%</w:t>
            </w:r>
          </w:p>
        </w:tc>
        <w:tc>
          <w:tcPr>
            <w:tcW w:w="1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~80%</w:t>
            </w:r>
          </w:p>
        </w:tc>
        <w:tc>
          <w:tcPr>
            <w:tcW w:w="2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Maintained</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~60%</w:t>
            </w:r>
          </w:p>
        </w:tc>
        <w:tc>
          <w:tcPr>
            <w:tcW w:w="1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~52%</w:t>
            </w:r>
          </w:p>
        </w:tc>
        <w:tc>
          <w:tcPr>
            <w:tcW w:w="2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Payback Period</w:t>
            </w:r>
          </w:p>
        </w:tc>
        <w:tc>
          <w:tcPr>
            <w:tcW w:w="2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3.9 Months</w:t>
            </w:r>
          </w:p>
        </w:tc>
        <w:tc>
          <w:tcPr>
            <w:tcW w:w="1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2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Countries Served</w:t>
            </w:r>
          </w:p>
        </w:tc>
        <w:tc>
          <w:tcPr>
            <w:tcW w:w="2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41 (from November)</w:t>
            </w:r>
          </w:p>
        </w:tc>
        <w:tc>
          <w:tcPr>
            <w:tcW w:w="1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31</w:t>
            </w:r>
          </w:p>
        </w:tc>
        <w:tc>
          <w:tcPr>
            <w:tcW w:w="2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+10 countries</w:t>
            </w:r>
          </w:p>
        </w:tc>
      </w:tr>
    </w:tbl>
    <w:p>
      <w:pPr>
        <w:spacing w:after="0" w:line="3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Danny Yeung, Chief Executive Officer and Co-Founder, commented: "After three full quarters of IM8 data, I have never been more confident in our trajectory. The growth has been nothing short of phenomenal – from $581,000 in monthly revenue at launch to $10 million by December, representing a 1,600%+ increase in just 12 months. Every key metric reinforces this momentum: 36% month-over-month growth, ~80% subscription rates, $150 average order value, ~60% gross margin, and a remarkable 3.9-month customer payback period that demonstrates the exceptional unit economics of our premium health and longevity platform.</w:t>
      </w:r>
    </w:p>
    <w:p>
      <w:pPr>
        <w:spacing w:after="0" w:line="2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Break-even and profitability is clearly in sight. Our adjusted EBITDA loss has dramatically improved from $(4.5) million in Q1 2025</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to $(4.1) million in Q2 2025, and now to just $(2.1) million in Q3 2025. This trend proves we could be profitable if we wanted to, but given the immense global opportunity we have, we will look to strategically scale even more aggressively.</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balance sheet has never been stronger. With approximately $120 million in total liquidity, zero debt, and the recent $44 million funding round from high-caliber investors, we have the financial foundation to aggressively scale this extraordinary trajectory without dilutive capital needs. This financial strength allows us to double down on growth, knowing our unit economics are proven.</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With our momentum and growth levers, $300 million ARR by year-end 2026 is in sight. We believe we can be the next Hims &amp; Hers because we are following a similar direct-to-consumer playbook with strong unit economics, premium positioning, and subscription-based recurring revenue.</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Combined with our Bitcoin treasury providing strategic optionality, we are positioning shareholders to benefit from two of the most transformative secular trends of our time. The next 12 months will demonstrate why Prenetics represents a generational investment opportunity.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a deeper dive into our vision and strategy, I encourage investors to read my first-ever shareholder letter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1983740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 w:firstLine="8"/>
        <w:spacing w:after="0" w:line="230" w:lineRule="auto"/>
        <w:tabs>
          <w:tab w:leader="none" w:pos="83"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EBITDA loss in Q1 2025 as presented in this press release has been restated to reflect adjusted EBITDA loss from continuing operations, normalized to exclude ACT Genomics. Refer to the section titled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for further details on the divestment of ACT Genomics and related IFRS Accounting Standards.</w:t>
      </w:r>
    </w:p>
    <w:p>
      <w:pPr>
        <w:sectPr>
          <w:pgSz w:w="11900" w:h="16838" w:orient="portrait"/>
          <w:cols w:equalWidth="0" w:num="1">
            <w:col w:w="11240"/>
          </w:cols>
          <w:pgMar w:left="320" w:top="14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Third Quarter 2025 Financial Performance Highlights:</w:t>
      </w:r>
      <w:r>
        <w:rPr>
          <w:rFonts w:ascii="Times New Roman" w:cs="Times New Roman" w:eastAsia="Times New Roman" w:hAnsi="Times New Roman"/>
          <w:sz w:val="21"/>
          <w:szCs w:val="21"/>
          <w:b w:val="1"/>
          <w:bCs w:val="1"/>
          <w:color w:val="auto"/>
          <w:vertAlign w:val="superscript"/>
        </w:rPr>
        <w:t>3</w:t>
      </w: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$23.6 million in the third quarter of 2025, an increase of 567.7% as compared to the third quarter of 2024.</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of $14.0 million in the third quarter of 2025, an increase of 631.2% as compared to the third quarter of 2024.</w:t>
      </w:r>
    </w:p>
    <w:p>
      <w:pPr>
        <w:jc w:val="both"/>
        <w:ind w:left="660" w:hanging="328"/>
        <w:spacing w:after="0" w:line="217"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loss of $(2.1) million in the third quarter of 2025, a decrease of 49.6% as compared to adjusted EBITDA loss of $(4.3) million in the third quarter of 2024, a decrease of 49.6% as compared to adjusted EBITDA loss of $(4.1) million in the second quarter of 2025 and a decrease of 54.0% as compared to adjusted EBITDA loss of $(4.5) million in the first quarter of 2025.</w:t>
      </w:r>
    </w:p>
    <w:p>
      <w:pPr>
        <w:spacing w:after="0" w:line="2"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$(6.8) million in the third quarter of 2025, an improvement of 31.2% as compared to the third quarter of 2024.</w:t>
      </w:r>
    </w:p>
    <w:p>
      <w:pPr>
        <w:ind w:left="660" w:hanging="328"/>
        <w:spacing w:after="0" w:line="181"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current assets</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were $84.6 million, including $59.6 million of adjusted cash</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as of September 30, 2025. As of September 30, 2025, the Company held 248.42 Bitcoin</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 xml:space="preserve"> with a value of $28.3 million and remained debt-free.</w:t>
      </w:r>
    </w:p>
    <w:p>
      <w:pPr>
        <w:ind w:left="660" w:hanging="328"/>
        <w:spacing w:after="0" w:line="239"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October 31, 2025, the Company’s cash and cash escrow balance increased to $82 million and Bitcoin holdings increased to 377.42 Bitcoin valued at $41.3 million. The increase is primarily a result of $44 million fundraising, completed in October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2025 Revenue by Business Unit:</w:t>
      </w:r>
    </w:p>
    <w:p>
      <w:pPr>
        <w:spacing w:after="0" w:line="12"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IM8: $17.2 million (increase of 76% over Q2 2025)</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Europa: $4.0 million</w:t>
      </w: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CircleDNA: $2.4 million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$23.6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Financial Performance Highlights:</w:t>
      </w:r>
    </w:p>
    <w:p>
      <w:pPr>
        <w:spacing w:after="0" w:line="25"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$55.8 million in the nine months ended September 30, 2025, an increase of 495.6% as compared to the nine months ended September 30, 2024.</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of $27.2 million in the nine months ended September 30, 2025, an increase of 296.3% as compared to the nine months ended September 30, 2024.</w:t>
      </w:r>
    </w:p>
    <w:p>
      <w:pPr>
        <w:spacing w:after="0" w:line="15"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of $(10.7) million in the nine months ended September 30, 2025, an increase of 4.9% as compared to the nine months ended September 30, 2024.</w:t>
      </w:r>
    </w:p>
    <w:p>
      <w:pPr>
        <w:ind w:left="640" w:hanging="308"/>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$(26.6) million in the nine months ended September 30, 2025, an increase of 6.0% as compared to the nine months ended September 30,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 Revenue by Business Unit:</w:t>
      </w:r>
    </w:p>
    <w:p>
      <w:pPr>
        <w:spacing w:after="0" w:line="1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IM8: $32.7 million</w:t>
      </w: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Europa: $16.0 million</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CircleDNA: $7.1 million</w:t>
      </w: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$55.8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right="20" w:firstLine="8"/>
        <w:spacing w:after="0" w:line="216" w:lineRule="auto"/>
        <w:tabs>
          <w:tab w:leader="none" w:pos="9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Unless otherwise specified, financial figures in this press release denotes results from continuing operations, which excludes our divested ACT Genomics. Refer to the section titled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Presentation</w:t>
      </w:r>
      <w:r>
        <w:rPr>
          <w:rFonts w:ascii="Times New Roman" w:cs="Times New Roman" w:eastAsia="Times New Roman" w:hAnsi="Times New Roman"/>
          <w:sz w:val="14"/>
          <w:szCs w:val="14"/>
          <w:color w:val="auto"/>
        </w:rPr>
        <w:t>” for further details on the divestment of ACT Genomics and related IFRS Accounting Standards.</w:t>
      </w:r>
    </w:p>
    <w:p>
      <w:pPr>
        <w:jc w:val="both"/>
        <w:spacing w:after="0" w:line="24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Adjusted EBITDA is a non-IFRS financial measure defined as loss for the period excluding (1) depreciation and amortization, (2) interest income, (3) other finance costs, (4) income tax (credit)/expense, (5) amortization of deferred expenses, (6) equity-settled share-based payment expenses, (7) non-recurring expenses related to acquisition, disposal and fundraising, (8) strategic realignment and discontinued products impact, (9) exchange gain or loss, net, (10) fair value loss on financial assets at fair value through profit or loss, (11) fair value loss on warrant liabilities, (12) share of loss of equity-accounted investees, net of tax, and (13) loss from discontinued operation, net of tax. These adjustments are made for items that may not be indicative of our business performance, including non-cash and/or non-recurring items. Refer to “</w:t>
      </w:r>
      <w:r>
        <w:rPr>
          <w:rFonts w:ascii="Times New Roman" w:cs="Times New Roman" w:eastAsia="Times New Roman" w:hAnsi="Times New Roman"/>
          <w:sz w:val="14"/>
          <w:szCs w:val="14"/>
          <w:i w:val="1"/>
          <w:iCs w:val="1"/>
          <w:color w:val="auto"/>
        </w:rPr>
        <w:t>Reconciliation of loss for the period under IFRS and adjusted EBITDA (Non-IFRS)</w:t>
      </w:r>
      <w:r>
        <w:rPr>
          <w:rFonts w:ascii="Times New Roman" w:cs="Times New Roman" w:eastAsia="Times New Roman" w:hAnsi="Times New Roman"/>
          <w:sz w:val="14"/>
          <w:szCs w:val="14"/>
          <w:color w:val="auto"/>
        </w:rPr>
        <w:t>” for a reconciliation of adjusted EBITDA to loss for the period, the most comparable IFRS financial measure.</w:t>
      </w:r>
    </w:p>
    <w:p>
      <w:pPr>
        <w:spacing w:after="0" w:line="3" w:lineRule="exact"/>
        <w:rPr>
          <w:rFonts w:ascii="Times New Roman" w:cs="Times New Roman" w:eastAsia="Times New Roman" w:hAnsi="Times New Roman"/>
          <w:sz w:val="19"/>
          <w:szCs w:val="19"/>
          <w:color w:val="auto"/>
          <w:vertAlign w:val="superscript"/>
        </w:rPr>
      </w:pPr>
    </w:p>
    <w:p>
      <w:pPr>
        <w:jc w:val="both"/>
        <w:spacing w:after="0" w:line="22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Adjusted current assets is a non-IFRS financial measure and represents current assets of $38.3 million as of September 30, 2025, including estimated proceeds from the divestment of ACT Genomics in the form of $46.3 million to be settled in cash, cash and cash equivalents totaling $13.3 million, financial assets at fair value through profit or loss of $10.5 million, and trade receivables of $1.8 million, amongst other accounting line items under current assets as of September 30, 2025. Refer to “</w:t>
      </w:r>
      <w:r>
        <w:rPr>
          <w:rFonts w:ascii="Times New Roman" w:cs="Times New Roman" w:eastAsia="Times New Roman" w:hAnsi="Times New Roman"/>
          <w:sz w:val="14"/>
          <w:szCs w:val="14"/>
          <w:i w:val="1"/>
          <w:iCs w:val="1"/>
          <w:color w:val="auto"/>
        </w:rPr>
        <w:t>Reconciliation of current assets under IFRS and adjusted current assets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(Non-IFRS)</w:t>
      </w:r>
      <w:r>
        <w:rPr>
          <w:rFonts w:ascii="Times New Roman" w:cs="Times New Roman" w:eastAsia="Times New Roman" w:hAnsi="Times New Roman"/>
          <w:sz w:val="14"/>
          <w:szCs w:val="14"/>
          <w:color w:val="auto"/>
        </w:rPr>
        <w:t>” for a reconciliation of adjusted current assets to current assets, the most comparable IFRS financial measure.</w:t>
      </w:r>
    </w:p>
    <w:p>
      <w:pPr>
        <w:spacing w:after="0" w:line="2" w:lineRule="exact"/>
        <w:rPr>
          <w:rFonts w:ascii="Times New Roman" w:cs="Times New Roman" w:eastAsia="Times New Roman" w:hAnsi="Times New Roman"/>
          <w:sz w:val="19"/>
          <w:szCs w:val="19"/>
          <w:color w:val="auto"/>
          <w:vertAlign w:val="superscript"/>
        </w:rPr>
      </w:pPr>
    </w:p>
    <w:p>
      <w:pPr>
        <w:jc w:val="both"/>
        <w:spacing w:after="0" w:line="243"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Adjusted cash is a non-IFRS financial measure and represents estimated proceeds from the divestment of ACT Genomics in the form of $46.3 million to be settled in cash, and cash and cash</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equivalents totaling $13.3 million as of September 30, 2025. Refer to “</w:t>
      </w:r>
      <w:r>
        <w:rPr>
          <w:rFonts w:ascii="Times New Roman" w:cs="Times New Roman" w:eastAsia="Times New Roman" w:hAnsi="Times New Roman"/>
          <w:sz w:val="14"/>
          <w:szCs w:val="14"/>
          <w:i w:val="1"/>
          <w:iCs w:val="1"/>
          <w:color w:val="auto"/>
        </w:rPr>
        <w:t>Unaudited Non-IFRS Financial Measures</w:t>
      </w:r>
      <w:r>
        <w:rPr>
          <w:rFonts w:ascii="Times New Roman" w:cs="Times New Roman" w:eastAsia="Times New Roman" w:hAnsi="Times New Roman"/>
          <w:sz w:val="14"/>
          <w:szCs w:val="14"/>
          <w:color w:val="auto"/>
        </w:rPr>
        <w:t>” for more details regarding the Company’s use of this non-IFRS financial measure.</w:t>
      </w:r>
    </w:p>
    <w:p>
      <w:pPr>
        <w:spacing w:after="0" w:line="160"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Bitcoin is classified as a non-current intangible asset under IFRS Accounting Standards. Bitcoin holdings value is as of September 30, 2025.</w:t>
      </w:r>
    </w:p>
    <w:p>
      <w:pPr>
        <w:sectPr>
          <w:pgSz w:w="11900" w:h="16838" w:orient="portrait"/>
          <w:cols w:equalWidth="0" w:num="1">
            <w:col w:w="11240"/>
          </w:cols>
          <w:pgMar w:left="320" w:top="13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With approximately $120 million in total liquidity, including approximately $82 million in cash and cash escrow, and 387 BTC (valued at approximately $41 million), Prenetics maintains a debt-free balance sheet that provides substantial runway for continued growth and strategic Bitcoin accumulation. This strong financial foundation, enhanced by the recent equity offering, positions the Company to capitalize on IM8's momentum without dilutive capital needs.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Bitcoin Treasury Strategy</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part of its pioneering dual-engine strategy, Prenetics has expanded its Bitcoin treasury to 387 BTC valued at approximately $41 million. Prenetics continues to execute its disciplined “1 BTC per day” accumulation strategy, reinforcing its long-term conviction in Bitcoin as a strategic treasury asset. This positions Prenetics as the only NASDAQ-listed consumer healthcare company to integrate Bitcoin as a strategic treasury asset, providing shareholders exposure to both the explosive growth in the wellness market and the digital asset transformation.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Company's Bitcoin accumulation strategy, as detailed in CEO Danny Yeung's comprehensive manifesto "The Dual Engine Revolution," represents a disciplined approach to building long-term shareholder value through diversified asset holdings. The manifesto can be found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 xml:space="preserve"> and the Company’s real-time Bitcoin holdings can be found here at </w:t>
      </w:r>
      <w:r>
        <w:rPr>
          <w:rFonts w:ascii="Times New Roman" w:cs="Times New Roman" w:eastAsia="Times New Roman" w:hAnsi="Times New Roman"/>
          <w:sz w:val="16"/>
          <w:szCs w:val="16"/>
          <w:color w:val="0563C1"/>
        </w:rPr>
        <w:t>https://prenetics.com/btc</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Portfolio Optimization</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Prenetics has initiated a comprehensive strategic review of non-core assets, including Europa Sports Partners, CircleDNA, and Insighta, as part of its focused capital allocation strategy. The Company expects to make an announcement regarding Europa Sports Partners in the coming weeks, reflecting the advanced stage of discussions for this asset. This proactive approach aims to unlock shareholder value by concentrating resources on IM8, the Company's highest-growth and highest-margin business unit.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strategic review reflects Prenetics' commitment to operational excellence and capital efficiency following the successful $72 million divestiture of ACT Genomics.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initiatives position the Company to maximize returns on its core health and longevity platform while maintaining financial flexibility for strategic opportunities.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Outlook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Prenetics reaffirms its full-year 2025 revenue guidance of $90 to $100 million (full-year 2025 revenue for IM8 expected to be $60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provides Q4 2025 revenue guidance for IM8 of $28 million, which is expected to result in a 63% quarter-over-quarter increase as compared to Q3 2025.</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reaffirms IM8 revenue is expected to be between $180 to $200 million for full-year 2026, which would translate to approximately $25 million in monthly revenue or $300 million ARR by the end of 2026. This growth will be driven by continued international expansion, new product innovations, and enhanced marketing initiatives across multiple sports and wellness verticals.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Q3 2025 Earnings Conference Call</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will hold its first ever earnings conference call today at 8:30 a.m. Eastern Time to discuss its financial results in further detail. The call will conclude with a Q&amp;A session with analysts.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9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Date:</w:t>
            </w:r>
          </w:p>
        </w:tc>
        <w:tc>
          <w:tcPr>
            <w:tcW w:w="3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Monday, November 10, 2025</w:t>
            </w:r>
          </w:p>
        </w:tc>
      </w:tr>
      <w:tr>
        <w:trPr>
          <w:trHeight w:val="223"/>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Time:</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8:30 a.m. Eastern Time</w:t>
            </w:r>
          </w:p>
        </w:tc>
      </w:tr>
      <w:tr>
        <w:trPr>
          <w:trHeight w:val="223"/>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Dial-in:</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1-844-425-9470</w:t>
            </w:r>
          </w:p>
        </w:tc>
      </w:tr>
      <w:tr>
        <w:trPr>
          <w:trHeight w:val="223"/>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International Dial-in:</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201-298-0878</w:t>
            </w:r>
          </w:p>
        </w:tc>
      </w:tr>
      <w:tr>
        <w:trPr>
          <w:trHeight w:val="223"/>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Webcast</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0563C1"/>
              </w:rPr>
              <w:t>PRE Conference Call</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audio replay of the webcast will be available on the Company’s investor relations website at https://ir.prenetics.com/.</w:t>
      </w:r>
    </w:p>
    <w:p>
      <w:pPr>
        <w:sectPr>
          <w:pgSz w:w="11900" w:h="16838" w:orient="portrait"/>
          <w:cols w:equalWidth="0" w:num="1">
            <w:col w:w="11240"/>
          </w:cols>
          <w:pgMar w:left="320" w:top="14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About Prenetics</w:t>
      </w:r>
    </w:p>
    <w:p>
      <w:pPr>
        <w:spacing w:after="0" w:line="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Prenetics (NASDAQ: PRE) is a leading health sciences company redefining the future of health and longevity through IM8 — its flagship consumer brand co-founded with David Beckham and championed by World No. 1 tennis player Aryna Sabalenka. IM8 has achieved the fastest growth trajectory in supplement industry history, reaching $108 million in ARR within 11 months of launch, outpacing even leading AI startups.</w:t>
      </w:r>
    </w:p>
    <w:p>
      <w:pPr>
        <w:spacing w:after="0" w:line="22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As the first consumer health company to establish a Bitcoin treasury, Prenetics continues to pioneer at the intersection of health innovation and digital assets, purchasing 1 Bitcoin per day, now totaling 387 BTC.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IM8</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IM8 is the pinnacle of premium core nutrition, born from a collaboration between David Beckham as a co-founding partner, and an elite team of scientists spanning medical professionals, academia and space science. Combining cutting-edge science with nature’s most potent ingredients, IM8 delivers a holistic, science-backed approach to health, empowering you to live your most vibrant life. IM8’s flagship product, Daily Ultimate Essentials is an all-in-one powder supplement engineered to replace 16 different supplements in a delicious drink and is NSF Certified for Sport, non-GMO, vegan, free from common allergens, and contains no artificial flavors, colors or sweeteners. IM8 is a subsidiary of Prenetics (NASDAQ: PRE), a leading global health sciences company dedicated to advancing consumer health. To learn more about IM8, please visit www.IM8health.com.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investors@prenetics.com</w:t>
      </w:r>
    </w:p>
    <w:p>
      <w:pPr>
        <w:spacing w:after="0"/>
        <w:rPr>
          <w:sz w:val="20"/>
          <w:szCs w:val="20"/>
          <w:color w:val="auto"/>
        </w:rPr>
      </w:pPr>
      <w:r>
        <w:rPr>
          <w:rFonts w:ascii="Times New Roman" w:cs="Times New Roman" w:eastAsia="Times New Roman" w:hAnsi="Times New Roman"/>
          <w:sz w:val="16"/>
          <w:szCs w:val="16"/>
          <w:color w:val="0000FF"/>
        </w:rPr>
        <w:t>PRE@mzgroup.us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Angela Cheung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 Corporate Finance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angela.hm.cheung@prenetics.com</w:t>
      </w:r>
    </w:p>
    <w:p>
      <w:pPr>
        <w:sectPr>
          <w:pgSz w:w="11900" w:h="16838" w:orient="portrait"/>
          <w:cols w:equalWidth="0" w:num="1">
            <w:col w:w="11240"/>
          </w:cols>
          <w:pgMar w:left="320" w:top="140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(including revenue ranges and breakdown timing) reflects management’s current estimates and assumptions as of the date of this release,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future alpha-generating activities involving the Company’s Bitcoin holdings could expose it to additional risks; the Company’s purchase of Bitcoin subjects it to risks related to extreme volatility and speculative nature of Bitcoin;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press release is as of the date of this press release, and the Company does not undertake any duty to update such information, except as required under applicable law.</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Figures for prior periods have been re-presented in accordance with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In June 2025, the Group determined that ACT Genomics Holdings Company Limited met the criteria to be classified as held for sale and a discontinued operation, following the signing of a definitive sale and purchase agreement with Delta Electronics, Inc. Under IFRS 5, the results of ACT Genomics are presented separately from the Group’s continuing operations (comprising IM8, CircleDNA and Europa), and comparative figures have been restated accordingly. The divestment was completed on October 1, 2025, with ACT Genomics now fully excluded from Prenetics’ continuing results.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Unaudited non-IFRS financial measures have been provided in the financial statements tables included at the end of this press release. An explanation of these measures is also included below under the heading “Unaudited Non-IFRS Financial Measures”.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Non-IFRS Financial Measures</w:t>
      </w:r>
    </w:p>
    <w:p>
      <w:pPr>
        <w:spacing w:after="0" w:line="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To supplement Prenetics’ consolidated financial statements prepared in accordance with International Financial Reporting Standards (“IFRS”), the Company is providing the following non-IFRS measures: annualized recurring revenue, adjusted EBITDA, adjusted current assets, adjusted cash and revenue by business unit.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is excluding from some or all of its non-IFRS results (1) depreciation and amortization, (2) interest income, (3) other finance costs, (4) income tax (credit)/expense, (5) amortization of deferred expenses, (6) equity-settled share-based payment expenses, (7) non-recurring expenses related to acquisition, disposal and fundraising, (8) strategic realignment and discontinued products impact, (9) exchange gain or loss, net, (10) fair value loss on financial assets at fair value through profit or loss, (11) fair value loss on warrant liabilities, (12) share of loss of equity-accounted investees, net of tax, and (13) loss from discontinued operation, net of tax — items that may not be indicative of our business, results of operations, or outlook, including but not limited to non-cash and/or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for the period under IFRS and adjusted EBITDA loss (Non-IFRS)” and “Reconciliation of current assets under IFRS and adjusted current assets (Non-IFRS)” set forth at the end of this document.</w:t>
      </w:r>
    </w:p>
    <w:p>
      <w:pPr>
        <w:sectPr>
          <w:pgSz w:w="11900" w:h="16838" w:orient="portrait"/>
          <w:cols w:equalWidth="0" w:num="1">
            <w:col w:w="11240"/>
          </w:cols>
          <w:pgMar w:left="320" w:top="140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199"/>
        </w:trPr>
        <w:tc>
          <w:tcPr>
            <w:tcW w:w="5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Cryptocurrency assets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106,730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81,412</w:t>
            </w:r>
          </w:p>
        </w:tc>
        <w:tc>
          <w:tcPr>
            <w:tcW w:w="0" w:type="dxa"/>
            <w:vAlign w:val="bottom"/>
          </w:tcPr>
          <w:p>
            <w:pPr>
              <w:spacing w:after="0"/>
              <w:rPr>
                <w:sz w:val="1"/>
                <w:szCs w:val="1"/>
                <w:color w:val="auto"/>
              </w:rPr>
            </w:pPr>
          </w:p>
        </w:tc>
      </w:tr>
      <w:tr>
        <w:trPr>
          <w:trHeight w:val="207"/>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 disposal group</w:t>
            </w:r>
          </w:p>
        </w:tc>
        <w:tc>
          <w:tcPr>
            <w:tcW w:w="4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45,406</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75,746</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classified as held for sale</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51,501</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59,044</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196,507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216,202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25,278</w:t>
            </w:r>
          </w:p>
        </w:tc>
        <w:tc>
          <w:tcPr>
            <w:tcW w:w="10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associated with assets classified as held for sale</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25,370</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44,845</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137,754</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Amounts recognized in other comprehensive income and accumulated in equity relating to</w:t>
            </w: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43,167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31,082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33,673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assets classified as held for sale</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150,892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171,357</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196,507</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216,202</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58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(All amounts in thousands of U.S. dollars (“$”) unless otherwise indicated)</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10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16"/>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6</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r>
      <w:tr>
        <w:trPr>
          <w:trHeight w:val="216"/>
        </w:trPr>
        <w:tc>
          <w:tcPr>
            <w:tcW w:w="7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6</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6</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(21,005)</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(23,990)</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taxation</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(25,244)</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credit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(25,045)</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71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Loss from discontinued operation, net of tax</w:t>
            </w:r>
            <w:r>
              <w:rPr>
                <w:rFonts w:ascii="Times New Roman" w:cs="Times New Roman" w:eastAsia="Times New Roman" w:hAnsi="Times New Roman"/>
                <w:sz w:val="21"/>
                <w:szCs w:val="21"/>
                <w:b w:val="1"/>
                <w:bCs w:val="1"/>
                <w:color w:val="auto"/>
                <w:vertAlign w:val="superscript"/>
              </w:rPr>
              <w:t>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(7,219)</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(32,264)</w:t>
            </w: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(expense)/income for the period</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Items that will not be reclassified subsequently to profit or loss: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of other comprehensive income of equity-accounted investees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revaluation of intangible assets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07"/>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for the period</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100" w:type="dxa"/>
            <w:vAlign w:val="bottom"/>
          </w:tcPr>
          <w:p>
            <w:pPr>
              <w:spacing w:after="0"/>
              <w:rPr>
                <w:sz w:val="17"/>
                <w:szCs w:val="17"/>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(32,560)</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attributable to:</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(30,208)</w:t>
            </w:r>
          </w:p>
        </w:tc>
        <w:tc>
          <w:tcPr>
            <w:tcW w:w="10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10"/>
        </w:trPr>
        <w:tc>
          <w:tcPr>
            <w:tcW w:w="7160" w:type="dxa"/>
            <w:vAlign w:val="bottom"/>
          </w:tcPr>
          <w:p>
            <w:pPr>
              <w:spacing w:after="0"/>
              <w:rPr>
                <w:sz w:val="18"/>
                <w:szCs w:val="18"/>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(32,435)</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(32,264)</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expense attributable to:</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(28,567)</w:t>
            </w:r>
          </w:p>
        </w:tc>
        <w:tc>
          <w:tcPr>
            <w:tcW w:w="10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(30,178)</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r>
      <w:tr>
        <w:trPr>
          <w:trHeight w:val="209"/>
        </w:trPr>
        <w:tc>
          <w:tcPr>
            <w:tcW w:w="7160" w:type="dxa"/>
            <w:vAlign w:val="bottom"/>
          </w:tcPr>
          <w:p>
            <w:pPr>
              <w:spacing w:after="0"/>
              <w:rPr>
                <w:sz w:val="18"/>
                <w:szCs w:val="18"/>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(32,560)</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4"/>
        </w:trPr>
        <w:tc>
          <w:tcPr>
            <w:tcW w:w="7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13,385,463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12,388,243</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13,385,463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12,388,243</w:t>
            </w:r>
          </w:p>
        </w:tc>
      </w:tr>
    </w:tbl>
    <w:p>
      <w:pPr>
        <w:sectPr>
          <w:pgSz w:w="11900" w:h="16838" w:orient="portrait"/>
          <w:cols w:equalWidth="0" w:num="1">
            <w:col w:w="11060"/>
          </w:cols>
          <w:pgMar w:left="320" w:top="140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6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(All amounts in thousands of U.S. dollars (“$”) unless otherwise indicated)</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2"/>
        </w:trPr>
        <w:tc>
          <w:tcPr>
            <w:tcW w:w="5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6"/>
        </w:trPr>
        <w:tc>
          <w:tcPr>
            <w:tcW w:w="54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r>
      <w:tr>
        <w:trPr>
          <w:trHeight w:val="200"/>
        </w:trPr>
        <w:tc>
          <w:tcPr>
            <w:tcW w:w="5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(Restated)</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17,680</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3,528</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Direct costs</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(1,610)</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1,918</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 and other net gain</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203"/>
        </w:trPr>
        <w:tc>
          <w:tcPr>
            <w:tcW w:w="540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Selling and distribution expenses</w:t>
            </w:r>
            <w:r>
              <w:rPr>
                <w:rFonts w:ascii="Times New Roman" w:cs="Times New Roman" w:eastAsia="Times New Roman" w:hAnsi="Times New Roman"/>
                <w:sz w:val="19"/>
                <w:szCs w:val="19"/>
                <w:b w:val="1"/>
                <w:bCs w:val="1"/>
                <w:color w:val="auto"/>
                <w:vertAlign w:val="superscript"/>
              </w:rPr>
              <w:t>6</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(1,086)</w:t>
            </w:r>
          </w:p>
        </w:tc>
      </w:tr>
      <w:tr>
        <w:trPr>
          <w:trHeight w:val="203"/>
        </w:trPr>
        <w:tc>
          <w:tcPr>
            <w:tcW w:w="54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Research and development expenses</w:t>
            </w:r>
            <w:r>
              <w:rPr>
                <w:rFonts w:ascii="Times New Roman" w:cs="Times New Roman" w:eastAsia="Times New Roman" w:hAnsi="Times New Roman"/>
                <w:sz w:val="19"/>
                <w:szCs w:val="19"/>
                <w:b w:val="1"/>
                <w:bCs w:val="1"/>
                <w:color w:val="auto"/>
                <w:vertAlign w:val="superscript"/>
              </w:rPr>
              <w:t>6</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w:t>
            </w:r>
          </w:p>
        </w:tc>
      </w:tr>
      <w:tr>
        <w:trPr>
          <w:trHeight w:val="203"/>
        </w:trPr>
        <w:tc>
          <w:tcPr>
            <w:tcW w:w="54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Administrative and other operating expenses</w:t>
            </w:r>
            <w:r>
              <w:rPr>
                <w:rFonts w:ascii="Times New Roman" w:cs="Times New Roman" w:eastAsia="Times New Roman" w:hAnsi="Times New Roman"/>
                <w:sz w:val="19"/>
                <w:szCs w:val="19"/>
                <w:b w:val="1"/>
                <w:bCs w:val="1"/>
                <w:color w:val="auto"/>
                <w:vertAlign w:val="superscript"/>
              </w:rPr>
              <w:t>6</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(10,489)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(8,035)</w:t>
            </w:r>
          </w:p>
        </w:tc>
      </w:tr>
      <w:tr>
        <w:trPr>
          <w:trHeight w:val="19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(9,517)</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loss on financial assets at fair value through profit or loss</w:t>
            </w:r>
          </w:p>
        </w:tc>
        <w:tc>
          <w:tcPr>
            <w:tcW w:w="48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gain/(loss) on warrant liabilities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 of loss of equity-accounted investees</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finance costs</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before taxation</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(9,854)</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(expense)/credit</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94"/>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from continuing operations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(9,863)</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Discontinued operation</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54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5"/>
                <w:szCs w:val="15"/>
                <w:color w:val="auto"/>
              </w:rPr>
              <w:t>Loss from discontinued operation, net of tax</w:t>
            </w:r>
            <w:r>
              <w:rPr>
                <w:rFonts w:ascii="Times New Roman" w:cs="Times New Roman" w:eastAsia="Times New Roman" w:hAnsi="Times New Roman"/>
                <w:sz w:val="19"/>
                <w:szCs w:val="19"/>
                <w:b w:val="1"/>
                <w:bCs w:val="1"/>
                <w:color w:val="auto"/>
                <w:vertAlign w:val="superscript"/>
              </w:rPr>
              <w:t>7</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w:t>
            </w:r>
          </w:p>
        </w:tc>
      </w:tr>
      <w:tr>
        <w:trPr>
          <w:trHeight w:val="19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(12,067)</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(expense)/income for the period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Items that will not be reclassified subsequently to profit or loss: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0"/>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 of other comprehensive income/(expense) of equity-accounted investees</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18"/>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revaluation of intangible assets</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Item that may be reclassified subsequently to profit or loss: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 difference on translation of foreign operations</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474</w:t>
            </w:r>
          </w:p>
        </w:tc>
      </w:tr>
      <w:tr>
        <w:trPr>
          <w:trHeight w:val="198"/>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expense for the period</w:t>
            </w: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(11,593)</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54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Loss attributable to:</w:t>
            </w:r>
          </w:p>
        </w:tc>
        <w:tc>
          <w:tcPr>
            <w:tcW w:w="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(12,410)</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(10,672)</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w:t>
            </w:r>
          </w:p>
        </w:tc>
      </w:tr>
      <w:tr>
        <w:trPr>
          <w:trHeight w:val="196"/>
        </w:trPr>
        <w:tc>
          <w:tcPr>
            <w:tcW w:w="54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(12,727)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(12,067)</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expense attributable to:</w:t>
            </w:r>
          </w:p>
        </w:tc>
        <w:tc>
          <w:tcPr>
            <w:tcW w:w="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shareholders of Prenetics</w:t>
            </w: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(12,180)</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(10,252)</w:t>
            </w: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4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w:t>
            </w:r>
          </w:p>
        </w:tc>
      </w:tr>
      <w:tr>
        <w:trPr>
          <w:trHeight w:val="196"/>
        </w:trPr>
        <w:tc>
          <w:tcPr>
            <w:tcW w:w="54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(11,593)</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Loss per share:</w:t>
            </w:r>
          </w:p>
        </w:tc>
        <w:tc>
          <w:tcPr>
            <w:tcW w:w="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0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(0.84)</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(0.84)</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Loss per share - Continuing operations: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0"/>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13,895,394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13,247,315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12,722,810</w:t>
            </w:r>
          </w:p>
        </w:tc>
      </w:tr>
      <w:tr>
        <w:trPr>
          <w:trHeight w:val="20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13,895,394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13,247,315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12,722,810</w:t>
            </w:r>
          </w:p>
        </w:tc>
      </w:tr>
    </w:tbl>
    <w:p>
      <w:pPr>
        <w:sectPr>
          <w:pgSz w:w="11900" w:h="16838" w:orient="portrait"/>
          <w:cols w:equalWidth="0" w:num="1">
            <w:col w:w="11140"/>
          </w:cols>
          <w:pgMar w:left="320" w:top="140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for the period under IFRS and adjusted EBITDA (Non-IFRS)</w:t>
      </w:r>
    </w:p>
    <w:p>
      <w:pPr>
        <w:spacing w:after="0" w:line="286" w:lineRule="exact"/>
        <w:rPr>
          <w:sz w:val="20"/>
          <w:szCs w:val="20"/>
          <w:color w:val="auto"/>
        </w:rPr>
      </w:pPr>
    </w:p>
    <w:tbl>
      <w:tblPr>
        <w:tblLayout w:type="fixed"/>
        <w:tblInd w:w="116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00" w:type="dxa"/>
            <w:vAlign w:val="bottom"/>
            <w:tcBorders>
              <w:bottom w:val="single" w:sz="8" w:color="auto"/>
            </w:tcBorders>
          </w:tcPr>
          <w:p>
            <w:pPr>
              <w:spacing w:after="0"/>
              <w:rPr>
                <w:sz w:val="18"/>
                <w:szCs w:val="18"/>
                <w:color w:val="auto"/>
              </w:rPr>
            </w:pPr>
          </w:p>
        </w:tc>
      </w:tr>
      <w:tr>
        <w:trPr>
          <w:trHeight w:val="208"/>
        </w:trPr>
        <w:tc>
          <w:tcPr>
            <w:tcW w:w="5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under IFRS</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(32,010)</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loss/(gain) on warrant liabilities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 net of tax</w:t>
            </w: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(10,233)</w:t>
            </w:r>
          </w:p>
        </w:tc>
      </w:tr>
      <w:tr>
        <w:trPr>
          <w:trHeight w:val="20"/>
        </w:trPr>
        <w:tc>
          <w:tcPr>
            <w:tcW w:w="5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8"/>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5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 under IFRS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(credit)/expense</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under IFRS</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4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share-based payment expenses</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expenses related to acquisition, disposal and fundraising</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4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gain or loss, net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financial assets at fair value through profit or loss</w:t>
            </w:r>
          </w:p>
        </w:tc>
        <w:tc>
          <w:tcPr>
            <w:tcW w:w="4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(gain)/loss on warrant liabilities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 net of tax</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 net of tax</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(Non-IFRS)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w:t>
            </w:r>
          </w:p>
        </w:tc>
      </w:tr>
      <w:tr>
        <w:trPr>
          <w:trHeight w:val="20"/>
        </w:trPr>
        <w:tc>
          <w:tcPr>
            <w:tcW w:w="5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20"/>
          </w:cols>
          <w:pgMar w:left="320" w:top="1400" w:right="7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(All amounts in thousands of U.S. dollars (“$”))</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business unit from continuing operations (Non-IFRS)</w:t>
      </w:r>
    </w:p>
    <w:p>
      <w:pPr>
        <w:spacing w:after="0" w:line="4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00" w:type="dxa"/>
            <w:vAlign w:val="bottom"/>
            <w:tcBorders>
              <w:bottom w:val="single" w:sz="8" w:color="auto"/>
            </w:tcBorders>
          </w:tcPr>
          <w:p>
            <w:pPr>
              <w:spacing w:after="0"/>
              <w:rPr>
                <w:sz w:val="18"/>
                <w:szCs w:val="18"/>
                <w:color w:val="auto"/>
              </w:rPr>
            </w:pPr>
          </w:p>
        </w:tc>
      </w:tr>
      <w:tr>
        <w:trPr>
          <w:trHeight w:val="208"/>
        </w:trPr>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4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CircleDNA</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7,708</w:t>
            </w:r>
          </w:p>
        </w:tc>
      </w:tr>
      <w:tr>
        <w:trPr>
          <w:trHeight w:val="21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IM8</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Europa</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35"/>
        </w:trPr>
        <w:tc>
          <w:tcPr>
            <w:tcW w:w="47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8"/>
        </w:trPr>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4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Europa</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34"/>
        </w:trPr>
        <w:tc>
          <w:tcPr>
            <w:tcW w:w="4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Note: Revenue by business unit is a non-IFRS financial measure and is presented to provide additional insight into the performance of Prenetics’ continuing operations. Business unit is not defined under IFRS, may differ from similarly titled measure used by other companies, and should not be considered substitutes for IFRS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current assets under IFRS and adjusted current assets (Non-IFRS)</w:t>
      </w:r>
    </w:p>
    <w:p>
      <w:pPr>
        <w:spacing w:after="0" w:line="268" w:lineRule="exact"/>
        <w:rPr>
          <w:sz w:val="20"/>
          <w:szCs w:val="20"/>
          <w:color w:val="auto"/>
        </w:rPr>
      </w:pPr>
    </w:p>
    <w:tbl>
      <w:tblPr>
        <w:tblLayout w:type="fixed"/>
        <w:tblInd w:w="140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4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199"/>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 under IFRS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w:t>
            </w:r>
          </w:p>
        </w:tc>
      </w:tr>
      <w:tr>
        <w:trPr>
          <w:trHeight w:val="213"/>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Estimated cash proceeds from the divestment of ACT Genomics</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current assets (Non-IFRS)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0" w:right="339" w:bottom="1440" w:gutter="0" w:footer="0" w:header="0"/>
        </w:sectPr>
      </w:pPr>
    </w:p>
    <w:bookmarkStart w:id="14" w:name="page15"/>
    <w:bookmarkEnd w:id="14"/>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t>
      </w:r>
    </w:p>
    <w:p>
      <w:pPr>
        <w:ind w:left="80" w:hanging="72"/>
        <w:spacing w:after="0" w:line="203" w:lineRule="auto"/>
        <w:tabs>
          <w:tab w:leader="none" w:pos="80" w:val="left"/>
        </w:tabs>
        <w:numPr>
          <w:ilvl w:val="0"/>
          <w:numId w:val="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equity-settled share-based payment expenses from continuing operations as follows:</w:t>
      </w: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r>
      <w:tr>
        <w:trPr>
          <w:trHeight w:val="208"/>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7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7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13"/>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r>
      <w:tr>
        <w:trPr>
          <w:trHeight w:val="237"/>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7"/>
        </w:trPr>
        <w:tc>
          <w:tcPr>
            <w:tcW w:w="54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r>
      <w:tr>
        <w:trPr>
          <w:trHeight w:val="211"/>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distribution expenses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Administrative and other operating expenses</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 equity-settled share-based payment expenses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8"/>
        <w:spacing w:after="0" w:line="221" w:lineRule="auto"/>
        <w:tabs>
          <w:tab w:leader="none" w:pos="95" w:val="left"/>
        </w:tabs>
        <w:numPr>
          <w:ilvl w:val="0"/>
          <w:numId w:val="10"/>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 xml:space="preserve">ACT Genomics Holdings Company Limited (“ACT Genomics”) are classified as discontinued operations in accordance with IFRS 5 </w:t>
      </w:r>
      <w:r>
        <w:rPr>
          <w:rFonts w:ascii="Times New Roman" w:cs="Times New Roman" w:eastAsia="Times New Roman" w:hAnsi="Times New Roman"/>
          <w:sz w:val="16"/>
          <w:szCs w:val="16"/>
          <w:i w:val="1"/>
          <w:iCs w:val="1"/>
          <w:color w:val="auto"/>
        </w:rPr>
        <w:t>Non-current Assets Held for Sale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Discontinued Operations </w:t>
      </w:r>
      <w:r>
        <w:rPr>
          <w:rFonts w:ascii="Times New Roman" w:cs="Times New Roman" w:eastAsia="Times New Roman" w:hAnsi="Times New Roman"/>
          <w:sz w:val="16"/>
          <w:szCs w:val="16"/>
          <w:color w:val="auto"/>
        </w:rPr>
        <w:t>(“IFRS 5”). In accordance with IFRS 5, the results of the discontinued operation have been presented separately from the continuing operations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consolidated statements of profit or loss and other comprehensive income.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3"/>
      <w:numFmt w:val="bullet"/>
      <w:start w:val="1"/>
    </w:lvl>
  </w:abstractNum>
  <w:abstractNum w:abstractNumId="8">
    <w:nsid w:val="12200854"/>
    <w:multiLevelType w:val="hybridMultilevel"/>
    <w:lvl w:ilvl="0">
      <w:lvlJc w:val="left"/>
      <w:lvlText w:val="6"/>
      <w:numFmt w:val="bullet"/>
      <w:start w:val="1"/>
    </w:lvl>
  </w:abstractNum>
  <w:abstractNum w:abstractNumId="9">
    <w:nsid w:val="4DB127F8"/>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2025-11-10T06:46:51Z</dcterms:created>
  <dcterms:modified xsi:type="dcterms:W3CDTF">2025-11-10T06:46:51Z</dcterms:modified>
</cp:coreProperties>
</file>