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7,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333-294765</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PRE-EFFECTIVE AMENDMENT NO. 1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F-3 ON FORM F-1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of registrant’s name into English)</w:t>
      </w:r>
    </w:p>
    <w:p>
      <w:pPr>
        <w:pStyle w:val="TextBody"/>
        <w:bidi w:val="0"/>
        <w:spacing w:before="0" w:after="0"/>
        <w:jc w:val="center"/>
        <w:rPr/>
      </w:pPr>
      <w:r>
        <w:rPr/>
      </w:r>
    </w:p>
    <w:tbl>
      <w:tblPr>
        <w:tblW w:w="7225" w:type="dxa"/>
        <w:jc w:val="left"/>
        <w:tblInd w:w="0" w:type="dxa"/>
        <w:tblLayout w:type="fixed"/>
        <w:tblCellMar>
          <w:top w:w="28" w:type="dxa"/>
          <w:left w:w="28" w:type="dxa"/>
          <w:bottom w:w="28" w:type="dxa"/>
          <w:right w:w="28" w:type="dxa"/>
        </w:tblCellMar>
      </w:tblPr>
      <w:tblGrid>
        <w:gridCol w:w="322"/>
        <w:gridCol w:w="282"/>
        <w:gridCol w:w="282"/>
        <w:gridCol w:w="282"/>
        <w:gridCol w:w="282"/>
        <w:gridCol w:w="282"/>
        <w:gridCol w:w="282"/>
        <w:gridCol w:w="282"/>
        <w:gridCol w:w="282"/>
        <w:gridCol w:w="293"/>
        <w:gridCol w:w="293"/>
        <w:gridCol w:w="293"/>
        <w:gridCol w:w="293"/>
        <w:gridCol w:w="293"/>
        <w:gridCol w:w="293"/>
        <w:gridCol w:w="293"/>
        <w:gridCol w:w="293"/>
        <w:gridCol w:w="293"/>
        <w:gridCol w:w="213"/>
        <w:gridCol w:w="213"/>
        <w:gridCol w:w="213"/>
        <w:gridCol w:w="213"/>
        <w:gridCol w:w="213"/>
        <w:gridCol w:w="213"/>
        <w:gridCol w:w="213"/>
        <w:gridCol w:w="213"/>
        <w:gridCol w:w="306"/>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25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 703-706, K11 Atelier</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728 King’s Road, Quarry Bay</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Hong Kong</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 +852 2210 9588</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telephone number of registrant’s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Cogency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 East 42nd Street, 18th Floor, New York, N.Y. 10168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(800) 221-0102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Danny Sheng Wu Yeung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p>
      <w:pPr>
        <w:pStyle w:val="TextBody"/>
        <w:bidi w:val="0"/>
        <w:spacing w:lineRule="auto" w:line="288" w:before="0" w:after="0"/>
        <w:jc w:val="center"/>
        <w:rPr/>
      </w:pPr>
      <w:r>
        <w:rPr>
          <w:rFonts w:ascii="Times New Roman;serif" w:hAnsi="Times New Roman;serif"/>
          <w:b/>
          <w:color w:val="000000"/>
          <w:sz w:val="20"/>
        </w:rPr>
        <w:t>Tel: +852 2110 9588</w:t>
      </w:r>
      <w:r>
        <w:rPr>
          <w:color w:val="000000"/>
        </w:rPr>
        <w: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Approximate date of commencement of proposed sale to the public: From time to time after the effective date of this registration 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only securities being registered on this Form are being offered pursuant to dividend or interest reinvestment plans, please check the following box.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rFonts w:ascii="Wingdings;sans-serif" w:hAnsi="Wingdings;sans-serif"/>
          <w:b w:val="false"/>
          <w:color w:val="000000"/>
          <w:sz w:val="20"/>
        </w:rPr>
        <w:t>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Pre-Effective Amendment No. 1 to Form F-3 on Form F-1 is being filed to convert the registration statement on Form F-3 filed by Prenetics Global Limited on March 31, 2026, as amended (Registration No. 333-294765), into a registration on Form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The information in this prospectus is not complete and may be changed. These securities may not be sold until the registration statement filed with the Securities and Exchange Commission is effective. This prospectus is not an offer to sell securities and it is not soliciting an offer to buy securities in any state where the offer or sale is not permitted.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AUGUST 7,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2,359,172 CLASS A ORDINARY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This prospectus relates to the registration and resale by the selling shareholders (the “Selling Shareholders”) identified in this prospectus of up to an aggregate of 2</w:t>
      </w:r>
      <w:r>
        <w:rPr>
          <w:rFonts w:ascii="Times New Roman;serif" w:hAnsi="Times New Roman;serif"/>
          <w:b w:val="false"/>
          <w:color w:val="000000"/>
          <w:sz w:val="20"/>
        </w:rPr>
        <w:t>,359,172</w:t>
      </w:r>
      <w:r>
        <w:rPr>
          <w:color w:val="000000"/>
          <w:shd w:fill="FFFFFF" w:val="clear"/>
        </w:rPr>
        <w:t xml:space="preserve"> </w:t>
      </w:r>
      <w:r>
        <w:rPr>
          <w:rFonts w:ascii="Times New Roman;serif" w:hAnsi="Times New Roman;serif"/>
          <w:b w:val="false"/>
          <w:color w:val="000000"/>
          <w:sz w:val="20"/>
          <w:shd w:fill="FFFFFF" w:val="clear"/>
        </w:rPr>
        <w:t xml:space="preserve">Class A Ordinary Shares, par value $0.0015 per share (“Class A Ordinary Shares”), issuable upon exercise of Class C warrants (the “Exchange Warrants” and the Class A Ordinary Shares issuable upon exercise of the Exchange Warrants, the “Warrant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Exchange Warrants were issued pursuant to warrant exchange agreements entered into with certain holders on December 23, 2025 and December 31, 2025 (the “December Warrant Exchange Agreements”). The December Warrant Exchange Agreements provided for the exchange of warrants that had been issued in the Company’s best efforts public offering completed on October 28, 2025 (the “October Offering”). In the October Offering, the Company issued (i) 2,722,642 Class A Ordinary Shares, (ii) Class A warrants to purchase up to 2,722,642 Class A Ordinary Shares at an exercise price of $24.12 per share, (iii) Class B warrants to purchase up to 2,722,642 Class A Ordinary Shares at an exercise price of $32.16 per share and (iv) Placement Agent warrants to purchase up to 131,829 Class A Ordinary Shares at an exercise price of $16.08 per share (the Class A warrants and Class B warrants collectively, the “October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December Warrant Exchange Agreements, the October Warrants were exchanged at a ratio of two October Warrants for one Exchange Warrant. Each Exchange Warrant entitles the holder to purchase one Class A Ordinary Share at an exercise price of $18.00 per share and will become exercisable upon the effectiveness of the registration statement of which this prospectus forms a part. The Exchange Warrants will remain exercisable for a period of two years following the date they first become exercisable.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Class A Ordinary Shares issuable upon exercise of the October Warrants were included for registration, pursuant to a prospectus supplement, dated October 28, 2025 (the “October Prospectus Supplement”) to the Company’s registration statement on Form F-3 (File No. 333-288824), which was initially filed with the</w:t>
      </w:r>
      <w:r>
        <w:rPr>
          <w:color w:val="000000"/>
        </w:rPr>
        <w:t xml:space="preserve"> </w:t>
      </w:r>
      <w:r>
        <w:rPr>
          <w:rFonts w:ascii="Times New Roman;serif" w:hAnsi="Times New Roman;serif"/>
          <w:b w:val="false"/>
          <w:color w:val="000000"/>
          <w:sz w:val="20"/>
        </w:rPr>
        <w:t xml:space="preserve">Securities and Exchange Commission (the “SEC”) on July 22, 2025, and was declared effective on September 11, 2025 (the “Shelf Registration Statement”). </w:t>
      </w:r>
      <w:r>
        <w:rPr>
          <w:rFonts w:ascii="Times New Roman;serif" w:hAnsi="Times New Roman;serif"/>
          <w:b w:val="false"/>
          <w:color w:val="000000"/>
          <w:sz w:val="20"/>
          <w:shd w:fill="FFFFFF" w:val="clear"/>
        </w:rPr>
        <w:t>We are now registering the Warrant Shares issuable upon exercise of the Exchange Warrants on behalf of the Selling Shareholders, to be offered and sold by them from time to time.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not receive any proceeds from the sale of Warrant Shares by the Selling Shareholders pursuant to this prospectus. However, we may receive proceeds from any exercise of the Exchange Warrants. The Selling Shareholders from time to time may offer and sell the Warrant Shares held by them directly or through underwriters, broker-dealers or agents, who may receive compensation in the form of discounts, concessions or commissions from the Selling Shareholders, the purchasers of the shares, or both. Sales of the Class A Ordinary Shares by the Selling Shareholders may occur at fixed prices, at market prices prevailing at the time of sale, at prices related to prevailing market prices, at negotiated prices and/or at varying prices determined at the time of sale. The Selling Shareholders may sell any, all or none of the securities offered by this prospectus and we do not know when or in what amount the Selling Shareholders may sell their Class A Ordinary Shares hereunder following the effective date of the registration statement of which this prospectus forms a part. The registration of the shares on behalf of the Selling Shareholders, however, does not necessarily mean that any of the Selling Shareholders will offer or sell their shares under this registration statement or at any time in the near future. We cannot predict when, or in what amounts, the Selling Shareholders may sell any of the shares. We provide more information about how the Selling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shd w:fill="FFFFFF" w:val="clear"/>
        </w:rPr>
        <w:t>may sell or otherwise dispose of their Class A Ordinary Shares in the section titled “</w:t>
      </w:r>
      <w:r>
        <w:rPr>
          <w:rFonts w:ascii="Times New Roman;serif" w:hAnsi="Times New Roman;serif"/>
          <w:b w:val="false"/>
          <w:i/>
          <w:color w:val="000000"/>
          <w:sz w:val="20"/>
          <w:shd w:fill="FFFFFF" w:val="clear"/>
        </w:rPr>
        <w:t>Plan of</w:t>
      </w:r>
      <w:r>
        <w:rPr>
          <w:color w:val="000000"/>
        </w:rPr>
        <w:t xml:space="preserve"> </w:t>
      </w:r>
      <w:r>
        <w:rPr>
          <w:rFonts w:ascii="Times New Roman;serif" w:hAnsi="Times New Roman;serif"/>
          <w:b w:val="false"/>
          <w:i/>
          <w:color w:val="000000"/>
          <w:sz w:val="20"/>
          <w:shd w:fill="FFFFFF" w:val="clear"/>
        </w:rPr>
        <w:t>Distribution</w:t>
      </w:r>
      <w:r>
        <w:rPr>
          <w:color w:val="000000"/>
          <w:shd w:fill="FFFFFF" w:val="clear"/>
        </w:rPr>
        <w:t xml:space="preserve">” </w:t>
      </w:r>
      <w:r>
        <w:rPr>
          <w:rFonts w:ascii="Times New Roman;serif" w:hAnsi="Times New Roman;serif"/>
          <w:b w:val="false"/>
          <w:color w:val="000000"/>
          <w:sz w:val="20"/>
          <w:shd w:fill="FFFFFF" w:val="clear"/>
        </w:rPr>
        <w:t>beginning on page 51 of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paying the cost of registering the Class A Ordinary Shares covered by this prospectus as well as various related expenses. The Selling Shareholders are responsible for all selling commissions, transfer taxes and other costs related to the offer and sale of their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Our Class A Ordinary Shares are listed on the Nasdaq Stock Market LLC, or “</w:t>
      </w:r>
      <w:r>
        <w:rPr>
          <w:rFonts w:ascii="Times New Roman;serif" w:hAnsi="Times New Roman;serif"/>
          <w:b w:val="false"/>
          <w:color w:val="000000"/>
          <w:sz w:val="20"/>
        </w:rPr>
        <w:t>Nasdaq</w:t>
      </w:r>
      <w:r>
        <w:rPr>
          <w:rFonts w:ascii="Times New Roman;serif" w:hAnsi="Times New Roman;serif"/>
          <w:b w:val="false"/>
          <w:color w:val="000000"/>
          <w:sz w:val="20"/>
          <w:shd w:fill="FFFFFF" w:val="clear"/>
        </w:rPr>
        <w:t>,” under the trading symbol “PRE”. On August 6, 2026, the closing sale price as reported on Nasdaq of our Class A Ordinary Shares was $17.86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“emerging growth company” under applicable U.S. federal securities laws and, as such, are eligible for certain reduced public company reporting requirements. See “Prospectus Summary - Emerging Growth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“foreign private issuer” as defined under the U.S. federal securities laws and, as such, may elect to comply with certain reduced public company disclosure and reporting requirements. See “Prospectus Summary - Foreign Private Issuer.”</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Throughout this prospectus, unless the context indicates otherwise, </w:t>
      </w:r>
      <w:r>
        <w:rPr>
          <w:color w:val="000000"/>
        </w:rPr>
        <w:t>“</w:t>
      </w:r>
      <w:r>
        <w:rPr>
          <w:rFonts w:ascii="Times New Roman;serif" w:hAnsi="Times New Roman;serif"/>
          <w:b w:val="false"/>
          <w:color w:val="000000"/>
          <w:sz w:val="20"/>
        </w:rPr>
        <w:t>we,” “us,” “our,” "Prenetics," “the Company” and “our company” refer to Prenetics Global Limited and its subsidiaries and consolidated affiliated entities</w:t>
      </w:r>
      <w:r>
        <w:rPr>
          <w:rFonts w:ascii="Times New Roman;serif" w:hAnsi="Times New Roman;serif"/>
          <w:b w:val="false"/>
          <w:color w:val="000000"/>
          <w:sz w:val="20"/>
          <w:shd w:fill="FFFFFF" w:val="clear"/>
        </w:rPr>
        <w:t>. As a result of the business combination (the “Business Combination”) as contemplated by the business combination agreement, dated September 15, 2021, as amended, by and among Prenetics Holding Company Limited (formerly known as Prenetics Group Limited), Artisan Acquisition Corp., an exempted company limited by shares incorporated under the laws of the Cayman Islands (“Artisan”) and the other parties thereto, Prenetics Holding Company Limited has become a wholly owned subsidiary of ours. Prenetics Global Limited is a Cayman Islands holding company with operations primarily conducted by its subsidiaries. We have subsidiaries conducting operations in Hong Kong. Investors purchasing our securities are purchasing equity interests in the Cayman Islands holding company. We are not a mainland Chinese operating company. Our operations are conducted by our subsidiaries, principally by our subsidiaries in Hong Kong, a Special Administrative Region of China, as well as subsidiaries in other jurisdictions outside of mainland China. Two of our subsidiaries are incorporated in mainland China. These entities are dormant, conduct no active business operations, hold no material assets and generate no revenue. For the years ended December 31, 2025, 2024 and 2023, we generated all of our revenue from businesses outside of mainland China. Investors purchasing our securities are purchasing equity interests in the Cayman Islands holding company. See “Prospectus Summary - Organizational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face various legal and operational risks and uncertainties relating to our operations in Hong Kong. As we presently do not have any business operations in mainland China, either directly or through Variable Interest Entity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our operations in Hong Kong and Macau.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PRC government has recently indicated an intent to exert more oversight and control over offerings conducted overseas (including those using a variable interest entity (“VIE”) structure) and foreign investment in China-based companies. This has been 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Should the PRC government seek to affect operations of any company with any level of operations in Hong Kong, should certain PRC laws and regulations or these statements or regulatory actions become applicable to us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United States or to list on a U.S. or other international securities exchange, any of which may cause the value of our securities to significantly decline or become worthless. For example, if recent PRC regulatory actions relating to data and cyberspace security were to apply to us, including our operations in Hong Kong, we could become subject to additional cybersecurity and data privacy obligations, including the potential requirement to complete a cybersecurity review in connection with our listing or continued listing on a U.S. or other foreign stock exchange. Failure to comply with any such obligations could result in penalties and other regulatory actions against us and may materially and adversely affect our business, financial condition and results of operations. In addition, regulatory actions relating to data security or anti-monopoly concerns in Hong Kong may also impair our ability to conduct our business, accept foreign investments, or continue to be listed on a U.S. or other foreign stock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16, 2021, the PCAOB issued a report on its determinations that it was unable to inspect or investigate completely PCAOB-registered public accounting firms headquartered in mainland China and in Hong Kong, and our auditor was subject to that determination.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and as a result, Nasdaq may determine to delist our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 In light of the PRC government’s expansion of authority in Hong Kong, there are risks and uncertainties which we cannot foresee for the time being, and rules and regulations in China can change quickly with little or no advance notice. The PRC government may intervene or influence our current and future operations in Hong Kong or mainland China, if we in the future decide to expand our business operations in mainland China, at any time, or may exert more control over offerings conducted in the United States or in other international jurisdictions or foreign investment in companies like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our subsidiaries have not declared or paid dividends or made any distribution of earnings as of the date of this prospectus. We do not intend to declare dividends or distribute earnings (if any) in the near future. Any determination to pay dividends or distribute earnings (if any) in the future will be at the discretion of our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Investing in our securities involves a high degree of risk. See “Risk Factors” beginning on page 31 of this prospectus and other risk factors contained in the documents incorporated by reference herein for a discussion of information that should be considered in connection with an investment in our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Neither the U.S.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160"/>
        <w:jc w:val="both"/>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PROSPECTUS DATED      , 2026</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13" w:type="dxa"/>
        <w:jc w:val="left"/>
        <w:tblInd w:w="0" w:type="dxa"/>
        <w:tblLayout w:type="fixed"/>
        <w:tblCellMar>
          <w:top w:w="28" w:type="dxa"/>
          <w:left w:w="28" w:type="dxa"/>
          <w:bottom w:w="28" w:type="dxa"/>
          <w:right w:w="28" w:type="dxa"/>
        </w:tblCellMar>
      </w:tblPr>
      <w:tblGrid>
        <w:gridCol w:w="124"/>
        <w:gridCol w:w="109"/>
        <w:gridCol w:w="109"/>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bl>
    <w:tbl>
      <w:tblPr>
        <w:tblW w:w="10205" w:type="dxa"/>
        <w:jc w:val="left"/>
        <w:tblInd w:w="0" w:type="dxa"/>
        <w:tblLayout w:type="fixed"/>
        <w:tblCellMar>
          <w:top w:w="28" w:type="dxa"/>
          <w:left w:w="28" w:type="dxa"/>
          <w:bottom w:w="28" w:type="dxa"/>
          <w:right w:w="28" w:type="dxa"/>
        </w:tblCellMar>
      </w:tblPr>
      <w:tblGrid>
        <w:gridCol w:w="3573"/>
        <w:gridCol w:w="3128"/>
        <w:gridCol w:w="3130"/>
        <w:gridCol w:w="109"/>
        <w:gridCol w:w="109"/>
        <w:gridCol w:w="156"/>
      </w:tblGrid>
      <w:tr>
        <w:trPr/>
        <w:tc>
          <w:tcPr>
            <w:tcW w:w="3573"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3da3fd4da94f40873b22c1ea9b2772">
              <w:r>
                <w:rPr>
                  <w:rStyle w:val="InternetLink"/>
                  <w:rFonts w:ascii="Times New Roman;serif" w:hAnsi="Times New Roman;serif"/>
                  <w:b/>
                  <w:strike w:val="false"/>
                  <w:dstrike w:val="false"/>
                  <w:color w:val="000000"/>
                  <w:sz w:val="20"/>
                  <w:u w:val="none"/>
                  <w:effect w:val="none"/>
                </w:rPr>
                <w:t>ABOUT THIS PROSPECTUS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3da3fd4da94f40873b22c1ea9b2772">
              <w:r>
                <w:rPr>
                  <w:rStyle w:val="InternetLink"/>
                  <w:rFonts w:ascii="Times New Roman;serif" w:hAnsi="Times New Roman;serif"/>
                  <w:b/>
                  <w:strike w:val="false"/>
                  <w:dstrike w:val="false"/>
                  <w:color w:val="000000"/>
                  <w:sz w:val="20"/>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53bc060db543a3989038875b72bb2a">
              <w:r>
                <w:rPr>
                  <w:rStyle w:val="InternetLink"/>
                  <w:rFonts w:ascii="Times New Roman;serif" w:hAnsi="Times New Roman;serif"/>
                  <w:b/>
                  <w:strike w:val="false"/>
                  <w:dstrike w:val="false"/>
                  <w:color w:val="000000"/>
                  <w:sz w:val="20"/>
                  <w:u w:val="none"/>
                  <w:effect w:val="none"/>
                </w:rPr>
                <w:t>COMMONLY USED TERMS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53bc060db543a3989038875b72bb2a">
              <w:r>
                <w:rPr>
                  <w:rStyle w:val="InternetLink"/>
                  <w:rFonts w:ascii="Times New Roman;serif" w:hAnsi="Times New Roman;serif"/>
                  <w:b/>
                  <w:strike w:val="false"/>
                  <w:dstrike w:val="false"/>
                  <w:color w:val="000000"/>
                  <w:sz w:val="20"/>
                  <w:u w:val="none"/>
                  <w:effect w:val="non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d89dadbb82d4d14994f86d82e39f758">
              <w:r>
                <w:rPr>
                  <w:rStyle w:val="InternetLink"/>
                  <w:rFonts w:ascii="Times New Roman;serif" w:hAnsi="Times New Roman;serif"/>
                  <w:b/>
                  <w:strike w:val="false"/>
                  <w:dstrike w:val="false"/>
                  <w:color w:val="000000"/>
                  <w:sz w:val="20"/>
                  <w:u w:val="none"/>
                  <w:effect w:val="none"/>
                </w:rPr>
                <w:t>FORWARD-LOOKING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d89dadbb82d4d14994f86d82e39f758">
              <w:r>
                <w:rPr>
                  <w:rStyle w:val="InternetLink"/>
                  <w:rFonts w:ascii="Times New Roman;serif" w:hAnsi="Times New Roman;serif"/>
                  <w:b/>
                  <w:strike w:val="false"/>
                  <w:dstrike w:val="false"/>
                  <w:color w:val="000000"/>
                  <w:sz w:val="20"/>
                  <w:u w:val="none"/>
                  <w:effect w:val="non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fe2ef6f4d4ebb9a54e3290cc112cd">
              <w:r>
                <w:rPr>
                  <w:rStyle w:val="InternetLink"/>
                  <w:rFonts w:ascii="Times New Roman;serif" w:hAnsi="Times New Roman;serif"/>
                  <w:b/>
                  <w:strike w:val="false"/>
                  <w:dstrike w:val="false"/>
                  <w:color w:val="000000"/>
                  <w:sz w:val="20"/>
                  <w:u w:val="none"/>
                  <w:effect w:val="none"/>
                </w:rPr>
                <w:t>PROSPECTUS SUMMARY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0fe2ef6f4d4ebb9a54e3290cc112cd">
              <w:r>
                <w:rPr>
                  <w:rStyle w:val="InternetLink"/>
                  <w:rFonts w:ascii="Times New Roman;serif" w:hAnsi="Times New Roman;serif"/>
                  <w:b/>
                  <w:strike w:val="false"/>
                  <w:dstrike w:val="false"/>
                  <w:color w:val="000000"/>
                  <w:sz w:val="20"/>
                  <w:u w:val="none"/>
                  <w:effect w:val="non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14f0e5e03b4af680cfae639f78f08b">
              <w:r>
                <w:rPr>
                  <w:rStyle w:val="InternetLink"/>
                  <w:rFonts w:ascii="Times New Roman;serif" w:hAnsi="Times New Roman;serif"/>
                  <w:b/>
                  <w:strike w:val="false"/>
                  <w:dstrike w:val="false"/>
                  <w:color w:val="000000"/>
                  <w:sz w:val="20"/>
                  <w:u w:val="none"/>
                  <w:effect w:val="none"/>
                </w:rPr>
                <w:t>UNAUDITED PRO FORMA COMBINED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14f0e5e03b4af680cfae639f78f08b">
              <w:r>
                <w:rPr>
                  <w:rStyle w:val="InternetLink"/>
                  <w:rFonts w:ascii="Times New Roman;serif" w:hAnsi="Times New Roman;serif"/>
                  <w:b/>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c8e4215a48489a8e56e60408f75040">
              <w:r>
                <w:rPr>
                  <w:rStyle w:val="InternetLink"/>
                  <w:rFonts w:ascii="Times New Roman;serif" w:hAnsi="Times New Roman;serif"/>
                  <w:b/>
                  <w:strike w:val="false"/>
                  <w:dstrike w:val="false"/>
                  <w:color w:val="000000"/>
                  <w:sz w:val="20"/>
                  <w:u w:val="none"/>
                  <w:effect w:val="none"/>
                </w:rPr>
                <w:t>THE OFFERING</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ec8e4215a48489a8e56e60408f75040">
              <w:r>
                <w:rPr>
                  <w:rStyle w:val="InternetLink"/>
                  <w:rFonts w:ascii="Times New Roman;serif" w:hAnsi="Times New Roman;serif"/>
                  <w:b/>
                  <w:strike w:val="false"/>
                  <w:dstrike w:val="false"/>
                  <w:color w:val="000000"/>
                  <w:sz w:val="20"/>
                  <w:u w:val="none"/>
                  <w:effect w:val="none"/>
                </w:rPr>
                <w:t>29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56f48dbc0b46cc96001d224f27e3f9">
              <w:r>
                <w:rPr>
                  <w:rStyle w:val="InternetLink"/>
                  <w:rFonts w:ascii="Times New Roman;serif" w:hAnsi="Times New Roman;serif"/>
                  <w:b/>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56f48dbc0b46cc96001d224f27e3f9">
              <w:r>
                <w:rPr>
                  <w:rStyle w:val="InternetLink"/>
                  <w:rFonts w:ascii="Times New Roman;serif" w:hAnsi="Times New Roman;serif"/>
                  <w:b/>
                  <w:strike w:val="false"/>
                  <w:dstrike w:val="false"/>
                  <w:color w:val="000000"/>
                  <w:sz w:val="20"/>
                  <w:u w:val="none"/>
                  <w:effect w:val="none"/>
                </w:rPr>
                <w:t>31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22a6835b2f47f1b8d3961a5c374e63">
              <w:r>
                <w:rPr>
                  <w:rStyle w:val="InternetLink"/>
                  <w:rFonts w:ascii="Times New Roman;serif" w:hAnsi="Times New Roman;serif"/>
                  <w:b/>
                  <w:strike w:val="false"/>
                  <w:dstrike w:val="false"/>
                  <w:color w:val="000000"/>
                  <w:sz w:val="20"/>
                  <w:u w:val="none"/>
                  <w:effect w:val="none"/>
                </w:rPr>
                <w:t>TRANSACTIONS RELATING TO THE ISSUANCE OF THE EXCHANGE WARRANTS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922a6835b2f47f1b8d3961a5c374e63">
              <w:r>
                <w:rPr>
                  <w:rStyle w:val="InternetLink"/>
                  <w:rFonts w:ascii="Times New Roman;serif" w:hAnsi="Times New Roman;serif"/>
                  <w:b/>
                  <w:strike w:val="false"/>
                  <w:dstrike w:val="false"/>
                  <w:color w:val="000000"/>
                  <w:sz w:val="20"/>
                  <w:u w:val="none"/>
                  <w:effect w:val="non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e64ef7aae14bdb95625893730d2cc7">
              <w:r>
                <w:rPr>
                  <w:rStyle w:val="InternetLink"/>
                  <w:rFonts w:ascii="Times New Roman;serif" w:hAnsi="Times New Roman;serif"/>
                  <w:b/>
                  <w:strike w:val="false"/>
                  <w:dstrike w:val="false"/>
                  <w:color w:val="000000"/>
                  <w:sz w:val="20"/>
                  <w:u w:val="none"/>
                  <w:effect w:val="none"/>
                </w:rPr>
                <w:t>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4e64ef7aae14bdb95625893730d2cc7">
              <w:r>
                <w:rPr>
                  <w:rStyle w:val="InternetLink"/>
                  <w:rFonts w:ascii="Times New Roman;serif" w:hAnsi="Times New Roman;serif"/>
                  <w:b/>
                  <w:strike w:val="false"/>
                  <w:dstrike w:val="false"/>
                  <w:color w:val="000000"/>
                  <w:sz w:val="20"/>
                  <w:u w:val="none"/>
                  <w:effect w:val="non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8a7741134f419688faf715bf8de75c">
              <w:r>
                <w:rPr>
                  <w:rStyle w:val="InternetLink"/>
                  <w:rFonts w:ascii="Times New Roman;serif" w:hAnsi="Times New Roman;serif"/>
                  <w:b/>
                  <w:strike w:val="false"/>
                  <w:dstrike w:val="false"/>
                  <w:color w:val="000000"/>
                  <w:sz w:val="20"/>
                  <w:u w:val="none"/>
                  <w:effect w:val="none"/>
                </w:rPr>
                <w:t>DIVIDEND POLICY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8a7741134f419688faf715bf8de75c">
              <w:r>
                <w:rPr>
                  <w:rStyle w:val="InternetLink"/>
                  <w:rFonts w:ascii="Times New Roman;serif" w:hAnsi="Times New Roman;serif"/>
                  <w:b/>
                  <w:strike w:val="false"/>
                  <w:dstrike w:val="false"/>
                  <w:color w:val="000000"/>
                  <w:sz w:val="20"/>
                  <w:u w:val="none"/>
                  <w:effect w:val="non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8e4d1d087470abfc19653944edeff">
              <w:r>
                <w:rPr>
                  <w:rStyle w:val="InternetLink"/>
                  <w:rFonts w:ascii="Times New Roman;serif" w:hAnsi="Times New Roman;serif"/>
                  <w:b/>
                  <w:strike w:val="false"/>
                  <w:dstrike w:val="false"/>
                  <w:color w:val="000000"/>
                  <w:sz w:val="20"/>
                  <w:u w:val="none"/>
                  <w:effect w:val="none"/>
                </w:rPr>
                <w:t>SELLING SHAREHOLDERS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38e4d1d087470abfc19653944edeff">
              <w:r>
                <w:rPr>
                  <w:rStyle w:val="InternetLink"/>
                  <w:rFonts w:ascii="Times New Roman;serif" w:hAnsi="Times New Roman;serif"/>
                  <w:b/>
                  <w:strike w:val="false"/>
                  <w:dstrike w:val="false"/>
                  <w:color w:val="000000"/>
                  <w:sz w:val="20"/>
                  <w:u w:val="none"/>
                  <w:effect w:val="non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4f9a0f4c1c479b8796d747454fb1a5">
              <w:r>
                <w:rPr>
                  <w:rStyle w:val="InternetLink"/>
                  <w:rFonts w:ascii="Times New Roman;serif" w:hAnsi="Times New Roman;serif"/>
                  <w:b/>
                  <w:strike w:val="false"/>
                  <w:dstrike w:val="false"/>
                  <w:color w:val="000000"/>
                  <w:sz w:val="20"/>
                  <w:u w:val="none"/>
                  <w:effect w:val="none"/>
                </w:rPr>
                <w:t>DESCRIPTION OF ORDINARY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4f9a0f4c1c479b8796d747454fb1a5">
              <w:r>
                <w:rPr>
                  <w:rStyle w:val="InternetLink"/>
                  <w:rFonts w:ascii="Times New Roman;serif" w:hAnsi="Times New Roman;serif"/>
                  <w:b/>
                  <w:strike w:val="false"/>
                  <w:dstrike w:val="false"/>
                  <w:color w:val="000000"/>
                  <w:sz w:val="20"/>
                  <w:u w:val="none"/>
                  <w:effect w:val="none"/>
                </w:rPr>
                <w:t>50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60a0e9a0e64c31ab211053cba07619">
              <w:r>
                <w:rPr>
                  <w:rStyle w:val="InternetLink"/>
                  <w:rFonts w:ascii="Times New Roman;serif" w:hAnsi="Times New Roman;serif"/>
                  <w:b/>
                  <w:strike w:val="false"/>
                  <w:dstrike w:val="false"/>
                  <w:color w:val="000000"/>
                  <w:sz w:val="20"/>
                  <w:u w:val="none"/>
                  <w:effect w:val="none"/>
                </w:rPr>
                <w:t>PLAN OF DISTRIBUTION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60a0e9a0e64c31ab211053cba07619">
              <w:r>
                <w:rPr>
                  <w:rStyle w:val="InternetLink"/>
                  <w:rFonts w:ascii="Times New Roman;serif" w:hAnsi="Times New Roman;serif"/>
                  <w:b/>
                  <w:strike w:val="false"/>
                  <w:dstrike w:val="false"/>
                  <w:color w:val="000000"/>
                  <w:sz w:val="20"/>
                  <w:u w:val="none"/>
                  <w:effect w:val="none"/>
                </w:rPr>
                <w:t>51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2c4c59901947b3af89744306717bad">
              <w:r>
                <w:rPr>
                  <w:rStyle w:val="InternetLink"/>
                  <w:rFonts w:ascii="Times New Roman;serif" w:hAnsi="Times New Roman;serif"/>
                  <w:b/>
                  <w:strike w:val="false"/>
                  <w:dstrike w:val="false"/>
                  <w:color w:val="000000"/>
                  <w:sz w:val="20"/>
                  <w:u w:val="none"/>
                  <w:effect w:val="none"/>
                </w:rPr>
                <w:t>LEGAL MATTERS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2c4c59901947b3af89744306717bad">
              <w:r>
                <w:rPr>
                  <w:rStyle w:val="InternetLink"/>
                  <w:rFonts w:ascii="Times New Roman;serif" w:hAnsi="Times New Roman;serif"/>
                  <w:b/>
                  <w:strike w:val="false"/>
                  <w:dstrike w:val="false"/>
                  <w:color w:val="000000"/>
                  <w:sz w:val="20"/>
                  <w:u w:val="none"/>
                  <w:effect w:val="non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5fb6fe2a0b4531b1b082a525bc3c59">
              <w:r>
                <w:rPr>
                  <w:rStyle w:val="InternetLink"/>
                  <w:rFonts w:ascii="Times New Roman;serif" w:hAnsi="Times New Roman;serif"/>
                  <w:b/>
                  <w:strike w:val="false"/>
                  <w:dstrike w:val="false"/>
                  <w:color w:val="000000"/>
                  <w:sz w:val="20"/>
                  <w:u w:val="none"/>
                  <w:effect w:val="none"/>
                </w:rPr>
                <w:t>EXPERTS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5fb6fe2a0b4531b1b082a525bc3c59">
              <w:r>
                <w:rPr>
                  <w:rStyle w:val="InternetLink"/>
                  <w:rFonts w:ascii="Times New Roman;serif" w:hAnsi="Times New Roman;serif"/>
                  <w:b/>
                  <w:strike w:val="false"/>
                  <w:dstrike w:val="false"/>
                  <w:color w:val="000000"/>
                  <w:sz w:val="20"/>
                  <w:u w:val="none"/>
                  <w:effect w:val="none"/>
                </w:rPr>
                <w:t>54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9ccaebbd00e47ca8da69077539a4927">
              <w:r>
                <w:rPr>
                  <w:rStyle w:val="InternetLink"/>
                  <w:rFonts w:ascii="Times New Roman;serif" w:hAnsi="Times New Roman;serif"/>
                  <w:b/>
                  <w:strike w:val="false"/>
                  <w:dstrike w:val="false"/>
                  <w:color w:val="000000"/>
                  <w:sz w:val="20"/>
                  <w:u w:val="none"/>
                  <w:effect w:val="none"/>
                </w:rPr>
                <w:t>INCORPORATION OF CERTAIN INFORMATION BY REFERENCE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ccaebbd00e47ca8da69077539a4927">
              <w:r>
                <w:rPr>
                  <w:rStyle w:val="InternetLink"/>
                  <w:rFonts w:ascii="Times New Roman;serif" w:hAnsi="Times New Roman;serif"/>
                  <w:b/>
                  <w:strike w:val="false"/>
                  <w:dstrike w:val="false"/>
                  <w:color w:val="000000"/>
                  <w:sz w:val="20"/>
                  <w:u w:val="none"/>
                  <w:effect w:val="non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ff37cad36e4bf68a36465db4eae501">
              <w:r>
                <w:rPr>
                  <w:rStyle w:val="InternetLink"/>
                  <w:rFonts w:ascii="Times New Roman;serif" w:hAnsi="Times New Roman;serif"/>
                  <w:b/>
                  <w:strike w:val="false"/>
                  <w:dstrike w:val="false"/>
                  <w:color w:val="000000"/>
                  <w:sz w:val="20"/>
                  <w:u w:val="none"/>
                  <w:effect w:val="none"/>
                </w:rPr>
                <w:t>ENFORCEABILITY OF CIVIL LIABILITIES AND AGENT FOR SERVICE OF PROCESS IN THE UNITED STATES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ff37cad36e4bf68a36465db4eae501">
              <w:r>
                <w:rPr>
                  <w:rStyle w:val="InternetLink"/>
                  <w:rFonts w:ascii="Times New Roman;serif" w:hAnsi="Times New Roman;serif"/>
                  <w:b/>
                  <w:strike w:val="false"/>
                  <w:dstrike w:val="false"/>
                  <w:color w:val="000000"/>
                  <w:sz w:val="20"/>
                  <w:u w:val="none"/>
                  <w:effect w:val="none"/>
                </w:rPr>
                <w:t>57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0" w:name="iad3da3fd4da94f40873b22c1ea9b2772"/>
      <w:bookmarkEnd w:id="0"/>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this registration, the Selling Shareholders may, at any time and from time to time, offer and/or sell the Class A Ordinary Shares described in this prospectus in one or more offerings. Any accompanying prospectus supplement or any related free writing prospectus may also add, update or change information contained in this prospectus or in any documents incorporated by reference into this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Class A Ordinary Shares that may be offered. You should read this prospectus together with the additional information described under the heading “Incorporation of Certain Information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there is any inconsistency between the information in this prospectus and any prospectus supplement or free writing prospectus, you should rely on the information contained in the prospectus supplement or free writing prospectus, as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or incorporated by reference in this prospectus, any accompanying prospectus supplement or in any related free writing prospectus filed by us with the SEC. Neither we nor the Selling Shareholders have authorized anyone to provide you with different information. Neither we nor the Selling Shareholders take responsibility for, and can provide no assurance as to the reliability of, any other information or representations that others may give you. This prospectus and any accompanying prospectus supplement (and any applicable free writing prospectus) do not constitute an offer to sell or the solicitation of an offer to buy any securities other than the securities described in this prospectus or such accompanying prospectus supplement or an offer to sell or the solicitation of an offer to buy such securities in any jurisdiction or under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statement contained in a subsequent prospectus supplement or document incorporated by reference into this prospectus after the date hereof shall be deemed to be modified or superseded for purposes of this prospectus to the extent that such statement contained in this prospectus conflicts or is otherwise inconsistent with the statement in any such prospectus supplement or subsequently filed document which is also incorporated in this prospectus. Any statements so modified or superseded shall not be deemed, except as so modified or superseded, to constitute a part of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in any accompanying prospectus supplement and any applicable free writing prospectus, and under similar headings in other documents that are incorporated by reference into this prospectus. Accordingly, investors should not place undue reliance on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1" w:name="id753bc060db543a3989038875b72bb2a"/>
      <w:bookmarkEnd w:id="1"/>
      <w:r>
        <w:rPr>
          <w:rFonts w:ascii="Times New Roman;serif" w:hAnsi="Times New Roman;serif"/>
          <w:b/>
          <w:color w:val="000000"/>
          <w:sz w:val="20"/>
        </w:rPr>
        <w:t>COMMONLY USED TERMS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References to “U.S. Dollars,” “USD,” “US$” and “$” in this prospectus are to United States dollars, the legal currency of the United States. Discrepancies in any table between totals and sums of the amounts listed are due to rounding. Certain amounts and percentages have been rounded; consequently, certain figures may add up to be more or less than the total amount and certain percentages </w:t>
      </w:r>
      <w:r>
        <w:rPr>
          <w:rFonts w:ascii="Times New Roman;serif" w:hAnsi="Times New Roman;serif"/>
          <w:b w:val="false"/>
          <w:color w:val="000000"/>
          <w:sz w:val="20"/>
        </w:rPr>
        <w:t>may</w:t>
      </w:r>
      <w:r>
        <w:rPr>
          <w:color w:val="000000"/>
          <w:shd w:fill="FFFFFF" w:val="clear"/>
        </w:rPr>
        <w:t xml:space="preserve"> </w:t>
      </w:r>
      <w:r>
        <w:rPr>
          <w:rFonts w:ascii="Times New Roman;serif" w:hAnsi="Times New Roman;serif"/>
          <w:b w:val="false"/>
          <w:color w:val="000000"/>
          <w:sz w:val="20"/>
          <w:shd w:fill="FFFFFF" w:val="clear"/>
        </w:rPr>
        <w:t>add up to be more or less than 100% due to rounding. In particular and without limitation, amounts expressed in millions contained in this prospectus have been rounded to a single decimal place for the convenience of readers.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2021 Warrants” means warrants of the Company, each entitling its holder to purchase 1.29 Class A Ordinary Share at an exercise price of $133.65 per 1.29 shares (or </w:t>
      </w:r>
      <w:r>
        <w:rPr>
          <w:rFonts w:ascii="Times New Roman;serif" w:hAnsi="Times New Roman;serif"/>
          <w:b w:val="false"/>
          <w:color w:val="000000"/>
          <w:sz w:val="20"/>
          <w:shd w:fill="FFFFFF" w:val="clear"/>
        </w:rPr>
        <w:t>an</w:t>
      </w:r>
      <w:r>
        <w:rPr>
          <w:color w:val="000000"/>
        </w:rPr>
        <w:t xml:space="preserve"> </w:t>
      </w:r>
      <w:r>
        <w:rPr>
          <w:rFonts w:ascii="Times New Roman;serif" w:hAnsi="Times New Roman;serif"/>
          <w:b w:val="false"/>
          <w:color w:val="000000"/>
          <w:sz w:val="20"/>
        </w:rPr>
        <w:t xml:space="preserve">effective price of $103.60 per share), subject to adjustment pursuant to the terms of the Assignment, Assumption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Amendment Agreement and the warrant agreement, dated May 13, 2021, by and between Artisan and Continental Stock Transfer and Trust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2" w:name="icd89dadbb82d4d14994f86d82e39f758"/>
      <w:bookmarkEnd w:id="2"/>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include statements that express our opinions, expectations, beliefs, plans, objectives, assumptions or projections regarding future events or future results of operations or financial condition and therefore are, or may be deemed to be, “forward-looking statements.” These forward-looking statements are made under the “safe harbor” provisions of the U.S. Private Securities Litigation Reform Act of 1995. These forward-looking statements can generally be identified by the use of forward-looking terminology, including the terms “believe,” “estimate,” “anticipate,” “expect,” “seek,” “project,” “intend,” “plan,”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results of operations, financial condition, liquidity, prospects, growth, strategies, future market conditions or economic performance and developments in the capital and credit markets and expected future financial performance, the markets in which we operate, as well as the possible or assumed future results of operations of our Company. Such forward-looking statements are based on available current market material and management’s expectations, beliefs and forecasts concerning future events impacting us. Factors that may impact such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regulatory environment and changes in laws, regulations or policies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compete in highly competitive industries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to adjust our offerings to meet market demand, attract customers to choose our products and services and grow our ecosystem;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Political instability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overall economic environment and general market and economic conditions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strategies, manage growth and maintain our corporate culture as we grow;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anticipated investments in new products, services, collaboration arrangements, technologies and strategic acquisitions, and the effect of these investments on our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protect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need for capital and the availability of financing and capital to fund these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Anticipated technology trends and developments and our ability to address those trends and developments with our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safety, affordability, convenience and breadth of our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Man-made or natural disasters, health epidemics, and other outbreaks including war, acts of international or domestic terrorism, civil disturbances, occurrences of catastrophic events and acts of God such as floods, earthquakes, wildfires, typhoons and other adverse weather and natural conditions that may directly or indirectly affect our business or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personnel and the inability to replace such personnel on a timely basis or on acceptable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 rate fluctuations;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interest rates or rates of inflation;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Legal, regulatory and other proceedings;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the listing of our securities on Nasdaq;</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increase the authorized capital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any future financing efforts;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integrate our business successfully with newly acquired businesses and realize the anticipated synergies and related benefits, or to do so within the anticipated timeframe;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Other risks and uncertainties, including those described in Part I (Risk Factors) in our most recent Form 20-F for the year ended December 31,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 In light of these risks and uncertainties, you should keep in mind that any event described in a forward-looking statement made in this prospectus or elsewhere might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bdr w:val="single" w:sz="8" w:space="14" w:color="000000"/>
        </w:rPr>
      </w:pPr>
      <w:bookmarkStart w:id="3" w:name="i0f0fe2ef6f4d4ebb9a54e3290cc112cd"/>
      <w:bookmarkEnd w:id="3"/>
      <w:r>
        <w:rPr>
          <w:rFonts w:ascii="Times New Roman;serif" w:hAnsi="Times New Roman;serif"/>
          <w:b/>
          <w:color w:val="000000"/>
          <w:sz w:val="20"/>
          <w:bdr w:val="single" w:sz="8" w:space="14" w:color="000000"/>
        </w:rPr>
        <w:t>PROSPECTUS SUMMARY</w:t>
      </w:r>
    </w:p>
    <w:p>
      <w:pPr>
        <w:pStyle w:val="TextBody"/>
        <w:bidi w:val="0"/>
        <w:spacing w:before="0" w:after="0"/>
        <w:jc w:val="left"/>
        <w:rPr/>
      </w:pPr>
      <w:r>
        <w:rPr/>
      </w:r>
    </w:p>
    <w:p>
      <w:pPr>
        <w:pStyle w:val="TextBody"/>
        <w:bidi w:val="0"/>
        <w:spacing w:lineRule="auto" w:line="288" w:before="0" w:after="0"/>
        <w:jc w:val="left"/>
        <w:rPr>
          <w:bdr w:val="single" w:sz="8" w:space="14" w:color="000000"/>
        </w:rPr>
      </w:pPr>
      <w:r>
        <w:rPr>
          <w:rFonts w:ascii="Times New Roman;serif" w:hAnsi="Times New Roman;serif"/>
          <w:b w:val="false"/>
          <w:i/>
          <w:color w:val="000000"/>
          <w:sz w:val="20"/>
          <w:bdr w:val="single" w:sz="8" w:space="14" w:color="000000"/>
          <w:shd w:fill="FFFFFF" w:val="clear"/>
        </w:rPr>
        <w:t xml:space="preserve">The following summary highlights selected information contained elsewhere in this prospectus and in the documents incorporated by reference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Investing in our securities involves substantial risks. Therefore, carefully consider the information and risk factors set forth in this prospectus and in our most recent filings with the SEC including our annual report and reports on Form 6-K, as well as other information in this prospectus and any prospectus supplements and the documents incorporated by reference herein or therein, before purchasing our securities. Each of the risk factors </w:t>
      </w:r>
      <w:r>
        <w:rPr>
          <w:rFonts w:ascii="Times New Roman;serif" w:hAnsi="Times New Roman;serif"/>
          <w:b w:val="false"/>
          <w:i/>
          <w:color w:val="000000"/>
          <w:sz w:val="20"/>
          <w:bdr w:val="single" w:sz="8" w:space="14" w:color="000000"/>
        </w:rPr>
        <w:t>could adversely affect our business, operating results and financial condition, as well as adversely affect the value of an investment in our securities.</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Business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 consumer health company advancing human health and longevity through science-backed products, global brand partnerships, and AI-driven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From Genomics to Consumer Health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From 2014 to 2019, we built scientific infrastructure in genomic testing and diagnostic services in Hong Kong. In late 2019, we launched CircleDNA, a next generation sequencing consumer genetic testing product that today serves customers in more than 30 countries.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Between 2020 and 2024, we developed the operational capabilities that would underpin IM8. During the COVID-19 pandemic, we became a leading testing services provider for the Hong Kong government and the English Premier League, rapidly scaling laboratory operations and logistics infrastructure. In December 2022, we acquired a majority stake in ACT Genomics, an Asia-based precision oncology company. In June 2023, we invested in Insighta, an early cancer detection company co-founded by Professor Dennis Lo. In August 2024, we acquired Europa Sports Partners, a U.S.-based sports distribution company.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The Launch of IM8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Leveraging the scientific expertise, supply chain infrastructure, and consumer insights accumulated over a decade, we launched IM8 in December 2024 alongside David Beckham as co-founding partner. The thesis: the $150+ billion global supplement industry lacked a brand that combined clinical-grade science, world-class brand partnerships, and a direct-to-consumer subscription model built for scale.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Strategic Transformation: Capital Allocation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IM8’s performance made the strategic path clear: concentrate resources on the highest-returning asset. During 2025 and early 2026, we executed three divestitures to transform Prenetics into a focused consumer health company:</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812"/>
        <w:gridCol w:w="713"/>
        <w:gridCol w:w="715"/>
        <w:gridCol w:w="109"/>
        <w:gridCol w:w="109"/>
        <w:gridCol w:w="109"/>
        <w:gridCol w:w="843"/>
        <w:gridCol w:w="830"/>
        <w:gridCol w:w="842"/>
        <w:gridCol w:w="109"/>
        <w:gridCol w:w="109"/>
        <w:gridCol w:w="109"/>
        <w:gridCol w:w="1447"/>
        <w:gridCol w:w="1374"/>
        <w:gridCol w:w="197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Rationale</w:t>
            </w:r>
          </w:p>
        </w:tc>
      </w:tr>
      <w:tr>
        <w:trPr/>
        <w:tc>
          <w:tcPr>
            <w:tcW w:w="2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ACT Genomics (October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Up to ~$72M cash (~$46M gross to Prenetics)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Eliminated non-core operational complexity and cash burn; generated non-dilutive capital.</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Europa 3PL Business (January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Up to $13M (all-stock)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 gross margin profile fundamentally misaligned with IM8’s premium economics.</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Insighta (February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$70M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Largest non-dilutive capital event in Company history; 35% equity stake sold to Tencent.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The cumulative result: a materially simpler operating structure and a strategic mandate centered entirely on consumer health through IM8.</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Following our strategic transformation throughout 2025 and into 2026, our business is organized around two brands: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402"/>
        <w:gridCol w:w="1227"/>
        <w:gridCol w:w="1232"/>
        <w:gridCol w:w="109"/>
        <w:gridCol w:w="109"/>
        <w:gridCol w:w="109"/>
        <w:gridCol w:w="501"/>
        <w:gridCol w:w="501"/>
        <w:gridCol w:w="503"/>
        <w:gridCol w:w="109"/>
        <w:gridCol w:w="109"/>
        <w:gridCol w:w="109"/>
        <w:gridCol w:w="419"/>
        <w:gridCol w:w="419"/>
        <w:gridCol w:w="421"/>
        <w:gridCol w:w="109"/>
        <w:gridCol w:w="109"/>
        <w:gridCol w:w="109"/>
        <w:gridCol w:w="763"/>
        <w:gridCol w:w="752"/>
        <w:gridCol w:w="1084"/>
      </w:tblGrid>
      <w:tr>
        <w:trPr/>
        <w:tc>
          <w:tcPr>
            <w:tcW w:w="14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Business Unit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FY2025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3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 engine</w:t>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complementary asset</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Europa (3PL business divested in 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$19.3M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bookmarkStart w:id="4" w:name="ib9f4481c4f8743a4a91e92895b10cdb8"/>
      <w:bookmarkEnd w:id="4"/>
      <w:r>
        <w:rPr>
          <w:rFonts w:ascii="Times New Roman;serif" w:hAnsi="Times New Roman;serif"/>
          <w:b w:val="false"/>
          <w:i/>
          <w:color w:val="000000"/>
          <w:sz w:val="20"/>
          <w:bdr w:val="single" w:sz="8" w:space="14" w:color="000000"/>
        </w:rPr>
        <w:t>IM8 Product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IM8’s product architecture is organized around two pillars: daily performance ("For Today") and longevity ("For Tomorrow"), with a premium bundle combining both.</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80"/>
        <w:gridCol w:w="390"/>
        <w:gridCol w:w="396"/>
        <w:gridCol w:w="109"/>
        <w:gridCol w:w="109"/>
        <w:gridCol w:w="109"/>
        <w:gridCol w:w="1769"/>
        <w:gridCol w:w="1321"/>
        <w:gridCol w:w="1325"/>
        <w:gridCol w:w="109"/>
        <w:gridCol w:w="109"/>
        <w:gridCol w:w="109"/>
        <w:gridCol w:w="526"/>
        <w:gridCol w:w="526"/>
        <w:gridCol w:w="532"/>
        <w:gridCol w:w="109"/>
        <w:gridCol w:w="109"/>
        <w:gridCol w:w="109"/>
        <w:gridCol w:w="571"/>
        <w:gridCol w:w="571"/>
        <w:gridCol w:w="817"/>
      </w:tblGrid>
      <w:tr>
        <w:trPr/>
        <w:tc>
          <w:tcPr>
            <w:tcW w:w="4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Key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Certifications</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All-in-one daily supplement replacing 16+ individual products. 90+ ingredients including vitamins, minerals, adaptogens, pre/pro/postbiotics. Multiple flavors.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Best-selling SKU; flagship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Daily Ultimate Longevity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Targets all 12 hallmarks of aging via a five-complex system. Therapeutic doses of NMN (300mg), triple senolytic complex, Spermidine (3mg), Glycine (3g), Taurine (2g), Dihydroberberine (100mg).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Premium longevity SKU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Beckham Stack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Bundled Essentials Pro + Longevity. Full-spectrum daily nutrition and aging support. Highest average order value SKU in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 quarterly plan adoption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All IM8 products are manufactured in FDA-registered facilities in the United States and undergo independent third-party testing through NSF Certified for Sport, verifying products are free from over 280 contaminants and confirming ingredient dosages match labeling.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actively expanding the IM8 product portfolio. We plan to extend our product portfolio across Q4 2026 and Q1 2027, including IM8 Hydration in Q4 2026 and a category-first premium gummies line in Q1 2027, meaningfully expanding IM8’s addressable market. These categories represent large, fast-growing segments of the global consumer health market, and each is a natural extension of IM8’s daily nutrition platform. Each launch will adhere to the same standards that define IM8’s flagship Daily Ultimate Essentials Pro product, including premium ingredient quality, science-backed formulation and rigorous third-party testing. The Company believes these launches will broaden IM8’s addressable market, increase customer lifetime value through additional household use cases, and support continued revenue diversification beyond IM8’s flagship SKU.</w:t>
      </w:r>
    </w:p>
    <w:p>
      <w:pPr>
        <w:pStyle w:val="TextBody"/>
        <w:bidi w:val="0"/>
        <w:spacing w:before="0" w:after="0"/>
        <w:ind w:left="0" w:right="0" w:firstLine="720"/>
        <w:jc w:val="left"/>
        <w:rPr/>
      </w:pPr>
      <w:r>
        <w:rPr/>
      </w:r>
    </w:p>
    <w:p>
      <w:pPr>
        <w:pStyle w:val="TextBody"/>
        <w:bidi w:val="0"/>
        <w:spacing w:lineRule="auto" w:line="240"/>
        <w:jc w:val="left"/>
        <w:rPr>
          <w:bdr w:val="single" w:sz="8" w:space="14" w:color="000000"/>
        </w:rPr>
      </w:pPr>
      <w:r>
        <w:rPr>
          <w:rFonts w:ascii="Times New Roman;serif" w:hAnsi="Times New Roman;serif"/>
          <w:b w:val="false"/>
          <w:color w:val="000000"/>
          <w:sz w:val="13"/>
          <w:bdr w:val="single" w:sz="8" w:space="14" w:color="000000"/>
        </w:rPr>
        <w:t>1</w:t>
      </w:r>
      <w:r>
        <w:rPr>
          <w:color w:val="000000"/>
          <w:bdr w:val="single" w:sz="8" w:space="14" w:color="000000"/>
        </w:rPr>
        <w:t xml:space="preserve"> </w:t>
      </w:r>
      <w:r>
        <w:rPr>
          <w:rFonts w:ascii="Times New Roman;serif" w:hAnsi="Times New Roman;serif"/>
          <w:b w:val="false"/>
          <w:color w:val="000000"/>
          <w:sz w:val="20"/>
          <w:bdr w:val="single" w:sz="8" w:space="14" w:color="000000"/>
        </w:rPr>
        <w:t>IM8 and Europa (prior to its divestment) formed our Consumer Health segment and focus on health and wellness solutions and sports distribution, respectively. CircleDNA forms our Prevention segment and focuses on genetic testing. For more information, see Notes 5 and 6 to our audited consolidated financial statements included in our annual report on Form 20-F for the fiscal year ended December 31, 2025.</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 is built around a subscription-focused model designed to foster long-term customer relationships, improve logistics efficiency, and generate predictable, recurring revenue. In December 2025, we introduced quarterly subscription plans in the U.S. market, expanding globally across our international markets in January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Global Ambassador Partnerships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To amplify IM8’s global reach and reinforce its positioning at the intersection of elite performance and science-backed nutrition, we entered into strategic partnerships with world-class athletes throughout 2025 and 2026. Each partnership originated organically—the athlete discovered and used IM8 products before any commercial relationship was discussed—and each ambassador is a Prenetics shareholder, directly aligning financial interests with long-term Company performance.</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46"/>
        <w:gridCol w:w="567"/>
        <w:gridCol w:w="545"/>
        <w:gridCol w:w="109"/>
        <w:gridCol w:w="109"/>
        <w:gridCol w:w="109"/>
        <w:gridCol w:w="474"/>
        <w:gridCol w:w="375"/>
        <w:gridCol w:w="381"/>
        <w:gridCol w:w="109"/>
        <w:gridCol w:w="109"/>
        <w:gridCol w:w="109"/>
        <w:gridCol w:w="1065"/>
        <w:gridCol w:w="1065"/>
        <w:gridCol w:w="1076"/>
        <w:gridCol w:w="109"/>
        <w:gridCol w:w="109"/>
        <w:gridCol w:w="109"/>
        <w:gridCol w:w="890"/>
        <w:gridCol w:w="882"/>
        <w:gridCol w:w="125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Ambassador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Credential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Structure</w:t>
            </w:r>
          </w:p>
        </w:tc>
      </w:tr>
      <w:tr>
        <w:trPr/>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Beckham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Football (Soccer)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Co-founding partner; 85M+ Instagram followers; global cultural icon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and equity holder</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Aryna Sabalenka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Tennis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World No. 1; four-time Grand Slam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(June 2025)</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Ollie Bearman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Formula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Haas F1 Team driver; youngest British F1 starter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(February 2026)</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Giannis Antetokounmpo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Basketball (NBA)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Two-time NBA MVP; NBA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All-equity deal; global ambassador and shareholder (April 2026)</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This roster spans four major global sports, providing year-round brand visibility across the world’s most-watched competitions. To our knowledge, no other consumer health company has assembled a comparable roster of athlete-shareholders across multiple sports.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May 7, 2026, IM8 announced a multi-year strategic partnership with Inter Miami CF, which includes an equity stake for Inter Miami CF in Prenetics, together with name, image and likeness rights with a minimum of four Inter Miami CF players, including Lionel Messi, and the establishment of an IM8 Nutrition Center at the club’s training facility. The Company believes this equity-based partnership model creates deeper, longer-term alignment than traditional endorsement arrangements, while supporting global brand reach across some of the most engaged sports audiences in the world.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May 20, 2026, IM8 announced a multi-year global partnership with #1 New York Times bestselling author and award-winning podcast host of On Purpose, and purpose-driven entrepreneur, Jay Shetty. Shetty became Global Ambassador of IM8 and a shareholder in Prenetics, demonstrating his long-term conviction in the brand and the Company. Shetty became IM8’s first global ambassador from outside the world of sport, extending the brand’s reach into the global wellness, mindfulness, and longevity audience he has spent more than a decade building.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General Catalyst Customer Value Fund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July 14, 2026, the Company announced the closing of up to $1 billion in growth financing from General Catalyst’s Customer Value Fund (“CVF”). Under the arrangement, General Catalyst’s Customer Value Fund will finance up to 70% of IM8’s marketing spend, with IM8 retaining full discretion over facility utilization. This allows IM8 to invest more aggressively in brand and marketing—powered by its AI-driven acquisition engine—while preserving Prenetics’ balance sheet for the product innovation, clinical research, and strategic opportunities where its cash is the appropriate funding source. The $1 billion facility is expected to be deployed across the full breadth of IM8’s sales and marketing investment: digital performance marketing across every major platform, offline and connected-TV media, ambassador and athlete partnerships, brand activations and sponsorships, content production, and retention marketing — in each of IM8’s 43 markets and in the new markets and product categories the brand enters.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Capital Markets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In October 2025, the Company completed an equity offering raising approximately $44 million in gross proceeds. In December 2025, we completed a voluntary warrant exchange program achieving 86.7% participation, consolidating two series of outstanding warrants into a single new series and materially reducing potential dilution.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In March 2026, the Company’s board of directors authorized a 12-month share repurchase program of up to $40 million, reflecting the board’s view that the Company’s shares were trading below intrinsic value. This followed approximately $2.75 million in open market purchases by the Company’s executive team in Q4 2025 and Q1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Digital Assets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On May 1, 2026, the Board of Directors of the Company authorized the complete divestment of the Company’s entire digital asset holdings. With the Company’s flagship brand, IM8, now operating at significant scale, this decision was aimed at deploying the Company’s capital in support of its highest-conviction growth asset.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of May 14, 2026, the Company had divested its full stake of digital assets for $41.3 million in proceeds. The Board has adopted a policy that the Company will not purchase any digital assets in the future. The Company’s treasury and capital allocation strategy will be focused exclusively on supporting its core IM8 consumer health business operations and growth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Our Corporate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an exempted company limited by shares incorporated on July 21, 2021 under the laws of the Cayman Islands. Our registered office is at Unit 703-706, K11 Atelier King’s Road, 728 King’s Road, Quarry Bay, Hong Kong and our telephone number is +852-2210-9588. Our website is www.prenetics.com. The information contained in, or accessible through, our website does not constitute a part of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The SEC maintains an internet site that contains reports, proxy and information statements, and other information regarding issuers, such as we, that file electronically, with the SEC at www.sec.gov.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Our agent for service of process in the United States is Cogency Global Inc., 122 East 42nd Street, 18th Floor New York, N.Y. 10168.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 xml:space="preserve">Our Organizational 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The following diagram depicts a simplified organizational structure of the Company as of the date hereof.</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bdr w:val="single" w:sz="8" w:space="14" w:color="000000"/>
        </w:rPr>
      </w:pPr>
      <w:r>
        <w:rPr>
          <w:bdr w:val="single" w:sz="8" w:space="14" w:color="000000"/>
        </w:rPr>
        <w:drawing>
          <wp:inline distT="0" distB="0" distL="0" distR="0">
            <wp:extent cx="5943600" cy="273367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5943600" cy="27336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Qianhai Prenetics Technology (Shenzhen) Co., Ltd. and Zhuhai Prenetics Technology Co., Ltd. are dormant entities that conduct no active business operations, hold no material assets, employ no personnel, and generated no revenue for the years ended December 31, 2025, 2024 and 2023. They were historically established in connection with our business investment in mainland China (which was wound down in 2021) and are expected to be deregistered and liquidated. Neither entity sells products, solicits customers, or collects, hosts or manages customer personal data in mainland China.</w:t>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of December 31, 2025, there were 16,874,089 ordinary shares issued and outstanding, par value $0.0015 per share, consisting of 15,293,117 Class A Ordinary Shares and 1,580,972 Class B Ordinary Shares, all of which Class B Ordinary Shares were held by Danny Yeung, our Chief Executive Officer and Co-Founder. In addition, there were 17,352,363 2021 Warrants outstanding. The 2021 Warrants to purchase up to 1,492,306 Class A Ordinary Shares became exercisable on June 17, 2022, in accordance with the terms of the Assignment, Assumption and Amendment Agreement and the Existing Warrant Agreement governing those securities. The exercise price of the 2021 Warrants is $133.65 per 1.29 shares (or an effective price of $103.60 per share), subject to adjustment pursuant to the terms of the Assignment, Assumption and Amendment Agreement and the Existing Warrant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Emerging Growth Company</w:t>
      </w:r>
    </w:p>
    <w:p>
      <w:pPr>
        <w:pStyle w:val="TextBody"/>
        <w:bidi w:val="0"/>
        <w:spacing w:before="0" w:after="0"/>
        <w:jc w:val="left"/>
        <w:rPr/>
      </w:pPr>
      <w:r>
        <w:rPr/>
      </w:r>
    </w:p>
    <w:p>
      <w:pPr>
        <w:pStyle w:val="TextBody"/>
        <w:bidi w:val="0"/>
        <w:spacing w:lineRule="auto" w:line="288" w:before="0" w:after="0"/>
        <w:jc w:val="left"/>
        <w:rPr>
          <w:bdr w:val="single" w:sz="8" w:space="14" w:color="000000"/>
        </w:rPr>
      </w:pPr>
      <w:r>
        <w:rPr>
          <w:rFonts w:ascii="Times New Roman;serif" w:hAnsi="Times New Roman;serif"/>
          <w:b w:val="false"/>
          <w:color w:val="000000"/>
          <w:sz w:val="20"/>
          <w:bdr w:val="single" w:sz="8" w:space="14" w:color="000000"/>
        </w:rPr>
        <w:t xml:space="preserve">We qualify as an “emerging growth company” as defined in the Jumpstart Our Business Startups Act of 2012 (the “JOBS Act”), and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our shares held by non-affiliates exceeds $700 million as of the last business day of our prior second fiscal quarter, we have been subject to Exchange Act reporting requirements for at least 12 calendar months; and filed at least one annual report, and (ii) the date on which we issued more than $1.0 billion in non-convertible debt during the prior three-year period. We intend to take advantage of exemptions from various reporting requirements that </w:t>
      </w:r>
      <w:r>
        <w:rPr>
          <w:rFonts w:ascii="Times New Roman;serif" w:hAnsi="Times New Roman;serif"/>
          <w:b w:val="false"/>
          <w:color w:val="000000"/>
          <w:sz w:val="20"/>
          <w:bdr w:val="single" w:sz="8" w:space="14" w:color="000000"/>
          <w:shd w:fill="FFFFFF" w:val="clear"/>
        </w:rPr>
        <w:t>are</w:t>
      </w:r>
      <w:r>
        <w:rPr>
          <w:color w:val="000000"/>
          <w:bdr w:val="single" w:sz="8" w:space="14" w:color="000000"/>
        </w:rPr>
        <w:t xml:space="preserve"> </w:t>
      </w:r>
      <w:r>
        <w:rPr>
          <w:rFonts w:ascii="Times New Roman;serif" w:hAnsi="Times New Roman;serif"/>
          <w:b w:val="false"/>
          <w:color w:val="000000"/>
          <w:sz w:val="20"/>
          <w:bdr w:val="single" w:sz="8" w:space="14" w:color="000000"/>
        </w:rPr>
        <w:t>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Exchange Act; certain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or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(Fair Disclosure), which restricts the selective disclosure of material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Foreign Private Issuer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subject to the information reporting requirements of the Securities Exchange Act of 1934, or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reports with the SEC and are not required to file current reports as frequently or promptly as U.S. domestic reporting companies. Furthermore, our officers, directors and principal shareholders are exempt from certain of the requirements to report transactions in our equity securities and from the short-swing profit liability provisions contained in Section 16 of the Exchange Act. 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As a foreign private issuer, we are also not subject to the requirements of Regulation FD promulgated under the Exchange Act. These exemptions and leniencies reduce the frequency and scope of information and protections available to you in comparison to those applicable to shareholders of U.S. domestic reporting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Summary of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Investing in our securities entails a high degree of risk as discussed in the “Risk Factors” section beginning on page 31 of this prospectus and in the documents incorporated by reference into this prospectus. You should carefully consider such risks before deciding to invest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Our Business and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a relatively early-stage company with a limited operating history in rapidly developing markets, which may make it challenging to evaluate our business and predict our future performance.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commercialize key products like CircleDNA and IM8 could materially affect our revenue and future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products and services do not deliver reliable results as expected, our reputation, business and operating results will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metrics and key performance indicators are calculated using internal data, methodologies and assumptions that are subject to inherent limitations, and real or perceived inaccuracies in such metrics may harm our reputation and negatively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since our inception, and we anticipate that we will continue to incur losses for the foreseeable future, which could harm our future business prospects.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limited history introducing new products and services to our customers. The future prospects of our business may be harmed if our efforts to attract new customers and engage existing customers by introducing new products are unsuccessful.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CircleDNA and IM8 businesses depend on our ability to maintain a strong base of engaged customers and content creators, including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rely on a limited number of suppliers, manufacturers, distributors and other service providers, and may not be able to find replacements or immediately transition to alternatives, which could adversely affect our ability to meet customer demand.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operating results may fluctuate significantly, which makes our future operating results difficult to predict and could cause our operating results to fall below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the Customer Investment Agreement with GC Customer Value Arranger, LLC is unpredictable, and the arrangement may not function as expected, and its failure to do so could materially and adversely impact our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require additional capital to grow our business, which may not be available on terms acceptable to us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business significantly depends upon the strength of our brands, including Prenetics, CircleDNA and IM8, and any harm to our brands or reputation may materially and adversely affect our business and results of operations.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cannot provide quality technical and customer and user support, we could lose customers, and our business and prospects may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successfully expand our sales and marketing infrastructure to match our growth, our business may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launch of our new nutrient products under the IM8 brand may face challenges that could impact our results of operations and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consumer genetic testing market is highly competitive, and many of our competitors are more established and have stronger marketing capabilities and greater financial resources, which presents a continuous threat to the success of our consumer genetic testing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the acquisition and divestiture of businesses.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highly dependent on our senior management team and key advisors and personnel, and our business and operating results could be harmed if we are unable to retain senior management and key personnel and to attract and retain qualified personnel necessary for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sizes of the markets and forecasts of market growth for the demand of our current and pipeline products and services are based on a number of complex assumptions and estimates that are subject to change, and may be inaccurate.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need to raise additional funds to develop our platform, commercialize new products or expand our operations, and we may be unable to raise capital when needed, or on acceptable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incur debt or assume contingent or other liabilities or dilute our shareholders in connection with acquisitions or strategic alliances.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implement and maintain an effective system of internal controls in the future, we may be unable to accurately report our financial condition or results of operations, which may adversely affect investor confidence in us and, as a result, the market price of the Class A Ordinary Shares.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We depend on the information systems of our own and those of third parties for the effective service on our websites, mobile applications, and in our computer and logistics systems, and for the overall effective and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efficient functioning of our business. Failure to maintain or protect our information systems and data integrity effectively could harm our business, financial condition and results of operations.</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Doing Business in Hong Kong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risks associated with our operations in Hong Kong, a Special Administrative Region of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Unfavorable economic and political conditions in Hong Kong and other parts of Asia could materially and adversely affect our business,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Tariffs and trade restrictions on non-U.S. materials could adversely affect our supply chain, costs, and financial performance.</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the Offering of the Class A Ordinary Shares Underlying the Exchange Warrants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resale of our Class A Ordinary Shares by the Selling Shareholders may cause the market price of our Class A Ordinary Shares to decline.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you purchase Class A Ordinary Shares following this offering, you may experience immediate dilution.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not receive any proceeds from the sale of Class A Ordinary Shares by the Selling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Selling Shareholders may sell all, some or none of their Class A Ordinary Shares, and we do not know when or in what amount the Selling Shareholders may sell their shares.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The trading prices of our Class A Ordinary Shares may be volatile and a market for our Class A Ordinary Shares may not develop, which would adversely affect the liquidity and price of our Class A Ordinary Shares. </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Government Regulation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collects and processes a large amount of data including personal information, and we will face legal, reputational, and financial risks if we fail to protect our customers’ data from security breaches or cyberattacks. We are also subject to various laws and regulations relating to privacy or the protection or transfer of data relating to individuals, and any change in such laws and regulations or any failure by us to comply with such laws and regulations could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products and services are and will continue to be subject to extensive regulation, compliance of which could be costly and time-consuming or may cause unanticipated delays or prevent the receipt of the required approvals to offer our products and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nutritional supplement products are affected by extensive regulations and our failure to comply with any regulations could lead to significant penalties or claims, which could materially harm our financial condition and operating results.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Intellectual Property and Legal Proceedings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legal proceedings and litigation, which are costly to defend, and adverse publicity about any investigation, litigation, regulatory or legal action against us or our senior management could harm our reputation and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depend on intellectual property licensed from third parties for development and commercialization of certain products, and the termination of the licenses or other agreements permitting us to use such intellectual property or failure of such third parties to maintain or protect such intellectual property could result in the loss of significant rights by us, which would harm our business.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rely substantially on our trademarks and trade names. If our trademarks and trade names are not adequately protected, then we may not be able to build name recognition in our markets of interest and our business may be harmed.</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Our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trading prices of our Class A Ordinary Shares may be volatile and a market for our Class A Ordinary Shares may not develop, which would adversely affect the liquidity and price of our Class A Ordinary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a substantial number of our securities in the public market could cause the price of our Class A Ordinary Shares to fall.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securities or industry analysts do not publish research, publish inaccurate or unfavorable research or cease publishing research about us, our share price and trading volume could decline significantly.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resales of our ordinary shares issued to our shareholders and other significant shareholders may cause the market price of our Class A Ordinary Shares to drop significantly, even if our business is doing well.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requirements of being a public company may strain our resources, divert our management’s attention and affect our ability to attract and retain qualified board members.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an “emerging growth company,” and it cannot be certain if the reduced SEC reporting requirements applicable to emerging growth companies will make our Class A Ordinary Shares less attractive to investors, which could have a material and adverse effect on us, including our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qualify as a foreign private issuer within the meaning of the rules under the Exchange Act, and as such we are exempt from certain provisions applicable to United States domestic public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cannot guarantee that any share repurchase program will be fully consummated or that any share repurchase program will enhance long-term shareholder value, and share repurchases could increase the volatility of the price of our Class A Ordinary Shares and could diminish our cash reserves.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PCAOB had historically been unable to inspect our auditor in relation to their audit 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issue additional securities without shareholder approval in certain circumstances, which would dilute existing ownership interests and may depress the market price of 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granted in the past, and we will also grant in the future, share incentives, which may result in increased share-based compensation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exercise or exchange of our outstanding warrants will dilute the ownership interest of existing shareholders and could adversely affect the market price of our Class A Ordinary Shares.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complex capital structure, including multiple classes of warrants with differing terms, may create uncertainty for investors and could adversely affect the trading price of our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significant increase in our authorized share capital may result in additional dilution to existing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provision in the Existing Warrant Agreement may result in additional dilution to our shareholders.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securities may be delisted from Nasdaq as a result of our failure of meeting the Nasdaq continued listing requirements.</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 xml:space="preserve">Risks Relating to Taxation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may be or become a passive foreign investment company (“PFIC”), which could result in adverse U.S. federal income tax consequences to U.S. Holders of our Class A Ordinary Shares.</w:t>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Permissions Required from the PRC Authorities for Our Operations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Historically, we held a minority interest in a genomics business in mainland China through Shenzhen Discover Health Technology Co., Ltd. (the “VIE Entity”), a PRC limited liability company, by entering into a series of contractual arrangements with the VIE Entity and its nominee shareholders through our wholly owned PRC subsidiary, Qianhai Prenetics Technology (Shenzhen) Co., Ltd. (the “WFOE”). On November 26, 2021, the agreements governing the VIE Entity were terminated with immediate effect. As a result, our corporate structure no longer contains any VIE. We believe that we and our subsidiaries, to the extent applicable, have obtained and have not been denied the requisite permissions or approvals that are material for our operations as of the date of this prospectus. We conduct our operations primarily through our subsidiaries in Hong Kong and other jurisdictions. For the years ended December 31, 2020, December 31, 2021, December 31, 2022, December 31, 2023, December 31, 2024, and December 31, 2025, we generated all of our revenue from our businesses outside of mainland China. Moreover, we do not sell any testing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As such, we believe that, based on the advice of our PRC legal counsel, DaHui Lawyers, we are currently not required to obtain any permission or approval from the China Securities Regulatory Commission (CSRC), Cyberspace Administration of China (CAC) or any other governmental agency to operate our business or to list our securities on a U.S. securities exchange or issue securities to U.S. or other foreign investors. If (i) we do not receive or maintain any permission or approval required of us, (ii) we incorrectly concluded that certain permissions or approvals have been acquired or are not required, when they are required and have not been acquired, or (iii) applicable laws, regulations, or interpretations thereof change and we become subject to the requirement for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additional permissions or approvals in the future, we may have to expend significant time and costs to procure them. If we are unable to do so, on commercially reasonable terms, in a timely manner or otherwise, we may become subject to sanctions imposed by the PRC or other applicable regulatory authorities, which could include fines and penalties, proceedings against us, and other forms of sanctions, and our ability to conduct our business or accept U.S. or other foreign investments, or continue to remain listed on a U.S. or other international securities exchange may be restricted, and our business, reputation, financial condition, and results of operations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Cash Transfers and Dividend Distribution</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For the years ended December 31, 2023, 2024 and 2025, and the three months period ended March 31, 2026, cash amounting to $48.4 million, $55.1 million, $25.0 million and $42.0 million, respectively, was transferred from our Company to Prenetics HK for treasury management and working capital funding purposes. During the same periods, cash amounting to nil, nil, $24.8 million and $1.1 million, respectively, was transferred from Prenetics HK to our Company.</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From 2023 to March 31, 2026, cash was transferred from Prenetics HK to certain of its subsidiaries in the form of capital contributions and through intercompany advances, as set forth in the table below. In particular, Prenetics HK transferred cash to Prenetics Innovation Labs Private Limited and IM8 (US) LLC to support their working capital and operational needs. During 2025 and the three months period ended March 31, 2026, IM8 (US) LLC also transferred cash to Prenetics HK as part of the Group’s centralized treasury and cash management arrangements.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If needed, cash may be transferred between Prenetics HK and our subsidiaries, including subsidiaries in India and the United States, through intercompany fund advances and capital contributions. There are currently no restrictions on transferring funds between Prenetics HK and these subsidiaries. Under our cash management policy, the amount of intercompany transfer of funds is determined based on the working capital needs of the subsidiaries and intercompany transactions, and is subject to our internal approval process and funding arrangements. Our management reviews and monitors the cash flow forecasts and working capital needs of our subsidiaries on a regular basis.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We have not faced difficulties or limitations on our ability to transfer cash among our Company, Prenetics HK and our subsidiaries. Cash generated from and held by Prenetics HK is used to fund the operations of the Group’s subsidiaries, where appropriate. The following table sets forth all material cash transfers among our Company, Prenetics HK and our subsidiaries during the periods presented, which were primarily in the form of capital contributions and intercompany advances.</w:t>
      </w:r>
    </w:p>
    <w:tbl>
      <w:tblPr>
        <w:tblW w:w="10205" w:type="dxa"/>
        <w:jc w:val="center"/>
        <w:tblInd w:w="0" w:type="dxa"/>
        <w:tblLayout w:type="fixed"/>
        <w:tblCellMar>
          <w:top w:w="28" w:type="dxa"/>
          <w:left w:w="28" w:type="dxa"/>
          <w:bottom w:w="28" w:type="dxa"/>
          <w:right w:w="28" w:type="dxa"/>
        </w:tblCellMar>
      </w:tblPr>
      <w:tblGrid>
        <w:gridCol w:w="1668"/>
        <w:gridCol w:w="1465"/>
        <w:gridCol w:w="1469"/>
        <w:gridCol w:w="628"/>
        <w:gridCol w:w="1145"/>
        <w:gridCol w:w="311"/>
        <w:gridCol w:w="109"/>
        <w:gridCol w:w="109"/>
        <w:gridCol w:w="109"/>
        <w:gridCol w:w="246"/>
        <w:gridCol w:w="475"/>
        <w:gridCol w:w="109"/>
        <w:gridCol w:w="109"/>
        <w:gridCol w:w="109"/>
        <w:gridCol w:w="109"/>
        <w:gridCol w:w="246"/>
        <w:gridCol w:w="475"/>
        <w:gridCol w:w="109"/>
        <w:gridCol w:w="109"/>
        <w:gridCol w:w="109"/>
        <w:gridCol w:w="109"/>
        <w:gridCol w:w="224"/>
        <w:gridCol w:w="497"/>
        <w:gridCol w:w="157"/>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in thousands)</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Prenetics Innovation Labs Private Limited</w:t>
            </w:r>
          </w:p>
        </w:tc>
        <w:tc>
          <w:tcPr>
            <w:tcW w:w="62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Company</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Company to Prenetics HK</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48,359 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IM8 (US) LLC</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IM8 (US) LLC to Prenetics HK</w:t>
            </w:r>
          </w:p>
        </w:tc>
        <w:tc>
          <w:tcPr>
            <w:tcW w:w="177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We and our subsidiaries have not declared or paid dividends or distributions within the Group or to investors as of the date of this prospectus. The cash movements within the Group primarily represented ordinary course fund transfers and intercompany settlements to support the operating cash requirements of the relevant business units, and did not represent dividend distributions. During the periods presented, the Company did not make capital contributions to its subsidiaries. No dividends or distributions have been made by any of our subsidiaries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Company, or by the Company to its shareholders or U.S. investors, during the periods presented, and accordingly no related tax consequences have arisen. The intercompany transfers described above, being capital contributions and intercompany advances, did not give rise to any dividend withholding or other material tax consequences. We do not intend to declare dividends or distribute earnings (if any) in the near future. Any determination to pay dividends or distribute earnings (if any) in the future will be at the discretion of our board of directors.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There are no significant restrictions on buying or selling foreign exchange or our ability to transfer cash between entities within our group, across borders, or to U.S. investors. There are no significant restrictions and limitations on our ability to distribute earnings (if any) from our businesses, including our subsidiaries, to the parent company and U.S. investors, or our ability to settle amounts owed. However, there can be no assurance that the PRC government will not intervene or impose restrictions on our ability to buy or sell foreign exchange or transfer or distribute cash within our organization, which could result in an inability or prohibition on making transfers or distributions to entities outside of Hong Kong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The Holding Foreign Companies Accountable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On December 16, 2021, the PCAOB issued a report to notify the SEC of its determination that the PCAOB was unable to inspect or investigate completely registered public accounting firms headquartered in mainland China or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will not be identified as a Commission-Identified Issuer for any future fiscal year, and if we were so identified for two consecutive years, we would become subject to the prohibition on trading under the HFCAA and as a result, Nasdaq may determine to delist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For the fiscal year ended December 31, 2025, our financial statements were audited by Deloitte Touche Tohmatsu, a Hong Kong-based accounting firm registered with the PCAOB. In 2022, the PCAOB entered into a Statement of Protocol with the CSRC and the Ministry of Finance of the People’s Republic of China, allowing PCAOB inspections of audit firms in mainland China and Hong Kong. Since 2023, the PCAOB has successfully conducted inspections of Hong Kong-based audit firms, including those auditing U.S.-listed companies. As a result, the PCAOB vacated its prior determinations of non-compliance for Hong Kong firms on December 15, 2022, and as of December 31, 2025, there are no PCAOB-identified jurisdictions posing inspection barriers. Consequently, we have not been identified as a Commission-Identified Issuer under the HFCAA for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Enforceability of Civil Liabilities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As a Cayman Islands exempted company with substantially all operations, assets, and management located outside the United States, you may face significant challenges in enforcing legal rights against us or our directors and officers. Most of our directors and executive officers reside in Hong Kong or other non-U.S. jurisdictions, making it difficult to effect service of process or bring actions in U.S. courts based on U.S. securities laws. In particular, each of Danny Sheng Wu Yeung, our director and chief executive officer, Cheng Yin Pan, our director, and Lo Hoi Chun, our chief financial officer, reside in Hong Kong, a Special Administrative Region of China. None of our directors and executive officers reside or are based in mainland China, and our two non-operating subsidiaries in mainland China are dormant, conduct no active business operations, hold no material assets and generate no revenue. Judgments obtained in U.S. courts may not be enforceable in the jurisdictions where we or our management are located.</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Our corporate governance is subject to Cayman Islands law, including the Companies Act and common law precedents, which differ materially from U.S. corporate law. Notably: (1) Cayman Islands common law derives from limited local judicial precedent and non-binding English common law; (2) shareholder rights and director fiduciary duties differ from those under U.S. state laws like Delaware; and (3) Cayman Islands securities laws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different protections than U.S. federal securities laws. Additionally, shareholders may lack standing to bring derivative actions in U.S. federal courts.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Accordingly, it may be more difficult for investors to enforce judgments upon us or our directors and officers in Hong Kong.</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a result of all of the above, you may face difficulties in protecting your interests, and your ability to protect your rights through U.S. courts may be limited. See “Risk Factors — Risks Relating to Our Securities — You may face difficulties in protecting your interests, and your ability to protect your rights through U.S. courts may be limited, because we are incorporated under the laws of the Cayman Islands, we conduct substantially all of our operations, and a majority of our directors and executive officers reside,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bookmarkStart w:id="5" w:name="i8f14f0e5e03b4af680cfae639f78f08b"/>
      <w:bookmarkEnd w:id="5"/>
      <w:r>
        <w:rPr>
          <w:rFonts w:ascii="Times New Roman;serif" w:hAnsi="Times New Roman;serif"/>
          <w:b/>
          <w:color w:val="000000"/>
          <w:sz w:val="18"/>
        </w:rPr>
        <w:t>UNAUDITED PRO FORMA COMBINED FINANCIAL INFORMATION</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These unaudited pro forma condensed financial statements of Prenetics Global Limited (the “Company”) are prepared based on the historical consolidated financial statements of the Company and have been prepared to illustrate the pro forma effects of: (i) the divestment of substantially all of the assets of the Company’s logistics, fulfillment, warehousing and distribution business operated under Europa Sports Partners, LLC and Hubmatrix Partners, LLC (“Europa 3PL, and such divestment, the “Europa 3PL disposition”); (ii) the divestment of the Company’s interest in Insighta Holdings Limited (“Insighta,” and such divestment, the “Insighta disposition”); and (iii) the disposition of the Company’s digital assets holdings (the “Digital assets disposition”).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January 1, 2026, the Company entered into an Asset Purchase Agreement with an independent buyer pursuant to which the Company divested substantially all of the assets of Europa 3PL. The aggregate consideration comprises share consideration in the buyer’s parent, consisting of (i) closing shares with an aggregate value of approximately $3.0 million, subject to a vesting condition linked to specified performance milestones, and (ii) contingent share consideration of up to $10.0 million, payable in tranches upon achievement of additional performance targets during the earn-out period. The performance milestones are primarily linked to the operational and commercial performance of the disposed business, including shipment volume-based targets and referral revenue generated under post-closing commercial arrangements. The buyer also assumed certain liabilities associated with the transferred business relating to the assigned contracts and operations subsequent to the closing date. The fair value of share consideration consists of the following:</w:t>
      </w:r>
    </w:p>
    <w:tbl>
      <w:tblPr>
        <w:tblW w:w="7660" w:type="dxa"/>
        <w:jc w:val="center"/>
        <w:tblInd w:w="0" w:type="dxa"/>
        <w:tblLayout w:type="fixed"/>
        <w:tblCellMar>
          <w:top w:w="28" w:type="dxa"/>
          <w:left w:w="28" w:type="dxa"/>
          <w:bottom w:w="28" w:type="dxa"/>
          <w:right w:w="28" w:type="dxa"/>
        </w:tblCellMar>
      </w:tblPr>
      <w:tblGrid>
        <w:gridCol w:w="1777"/>
        <w:gridCol w:w="1564"/>
        <w:gridCol w:w="1578"/>
        <w:gridCol w:w="109"/>
        <w:gridCol w:w="109"/>
        <w:gridCol w:w="109"/>
        <w:gridCol w:w="520"/>
        <w:gridCol w:w="1480"/>
        <w:gridCol w:w="414"/>
      </w:tblGrid>
      <w:tr>
        <w:trPr/>
        <w:tc>
          <w:tcPr>
            <w:tcW w:w="177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w:t>
              <w:br/>
              <w:t>(in thousands of U.S. dollars)</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consideration upon completion of the Europa 3PL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February 13, 2026, the Company completed the divestment of its interest in Insighta for aggregate cash consideration of approximately $70.0 million, comprising cash consideration upon completion of $69.0 million and a holdback amount of $1.0 million. The holdback amount is expected to be released 10 days after satisfaction of the applicable jurisdictional filing requirements. Following completion of the Insighta disposition, Insighta ceased to be an equity-accounted investee of the Company. The consideration consists of the following:</w:t>
      </w:r>
    </w:p>
    <w:tbl>
      <w:tblPr>
        <w:tblW w:w="7091" w:type="dxa"/>
        <w:jc w:val="center"/>
        <w:tblInd w:w="0" w:type="dxa"/>
        <w:tblLayout w:type="fixed"/>
        <w:tblCellMar>
          <w:top w:w="28" w:type="dxa"/>
          <w:left w:w="28" w:type="dxa"/>
          <w:bottom w:w="28" w:type="dxa"/>
          <w:right w:w="28" w:type="dxa"/>
        </w:tblCellMar>
      </w:tblPr>
      <w:tblGrid>
        <w:gridCol w:w="1574"/>
        <w:gridCol w:w="1385"/>
        <w:gridCol w:w="1390"/>
        <w:gridCol w:w="109"/>
        <w:gridCol w:w="109"/>
        <w:gridCol w:w="109"/>
        <w:gridCol w:w="475"/>
        <w:gridCol w:w="1567"/>
        <w:gridCol w:w="373"/>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Amount</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 of U.S. dollars)</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receivable upon completion of the Insighta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Holdback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May 2026, the Company executed trades through Kraken to dispose of an aggregate 510.03 digital assets for total consideration of $41.3 million, representing an average selling price of approximately $81,050 per digital asset.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unaudited pro forma statements of profit or loss and other comprehensive income for the year ended December 31, 2025 gives effect to the pro forma adjustments as if the Europa 3PL disposition, Insighta disposition and Digital assets disposition had been consummated on January 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unaudited pro forma statement of financial position as of December 31, 2025 gives effect to the pro forma adjustments as if the Europa 3PL disposition, Insighta disposition and Digital assets disposition had been consummated on December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All financial data in the unaudited pro forma condensed financial statements is presented in thousands of U.S. dollars, unless otherwise noted, and the unaudited pro forma condensed financial statements have been prepared in accordance with Article 11 of Regulation S-X using accounting policies that are consistent with IFRS Accounting Standards as issued by the International Accounting Standards Board.</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unaudited pro forma condensed financial statements are based on preliminary estimates, accounting judgments and currently available information and assumptions that management believes are reasonable. All financial data for the Europa 3PL disposition, Insighta disposition and Digital assets disposition have been derived from the historical financial information of the businesses disposed, which were included in the audited financial statements of the Company as at December 31, 2025 and for the year ended December 31, 2025. The notes to the unaudited pro forma condensed financial statements provide a detailed discussion of how such adjustments were derived and presented in the Unaudited Pro Forma Condensed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Statements. The unaudited pro forma condensed financial statements should be read in conjunction with the audited financial statements of the Company at December 31, 2024 and 2025, and for the two years ended December 31, 2024 and 2025 on Form 20-F filed with the SEC on April 30, 2026.</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unaudited pro forma condensed financial statements have been prepared for illustrative purposes only and are not necessarily indicative of the statement of financial position or statements of profit or loss and other comprehensive income of the Company had the Europa 3PL disposition, Insighta disposition and Digital assets disposition occurred on the dates indicated, nor is such pro forma condensed financial information necessarily indicative of the results to be expected for any future period. The actual statement of financial position and statements of profit or loss and other comprehensive income may differ significantly from the pro forma amounts reflected herein due to a variety of factors.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40" w:after="283"/>
        <w:jc w:val="left"/>
        <w:rPr>
          <w:rFonts w:ascii="Times New Roman;serif" w:hAnsi="Times New Roman;serif"/>
          <w:b/>
          <w:color w:val="000000"/>
          <w:sz w:val="14"/>
        </w:rPr>
      </w:pPr>
      <w:r>
        <w:rPr>
          <w:rFonts w:ascii="Times New Roman;serif" w:hAnsi="Times New Roman;serif"/>
          <w:b/>
          <w:color w:val="000000"/>
          <w:sz w:val="14"/>
        </w:rPr>
        <w:t>Unaudited pro forma statement of financial position</w:t>
      </w:r>
    </w:p>
    <w:p>
      <w:pPr>
        <w:pStyle w:val="TextBody"/>
        <w:bidi w:val="0"/>
        <w:spacing w:lineRule="auto" w:line="268" w:before="0" w:after="0"/>
        <w:jc w:val="left"/>
        <w:rPr>
          <w:rFonts w:ascii="Times New Roman;serif" w:hAnsi="Times New Roman;serif"/>
          <w:b/>
          <w:color w:val="000000"/>
          <w:sz w:val="14"/>
        </w:rPr>
      </w:pPr>
      <w:r>
        <w:rPr>
          <w:rFonts w:ascii="Times New Roman;serif" w:hAnsi="Times New Roman;serif"/>
          <w:b/>
          <w:color w:val="000000"/>
          <w:sz w:val="14"/>
        </w:rPr>
        <w:t>At December 31, 2025</w:t>
      </w:r>
    </w:p>
    <w:p>
      <w:pPr>
        <w:pStyle w:val="TextBody"/>
        <w:bidi w:val="0"/>
        <w:spacing w:lineRule="auto" w:line="268" w:before="0" w:after="0"/>
        <w:jc w:val="left"/>
        <w:rPr>
          <w:rFonts w:ascii="Times New Roman;serif" w:hAnsi="Times New Roman;serif"/>
          <w:b w:val="false"/>
          <w:i/>
          <w:color w:val="000000"/>
          <w:sz w:val="14"/>
        </w:rPr>
      </w:pPr>
      <w:r>
        <w:rPr>
          <w:rFonts w:ascii="Times New Roman;serif" w:hAnsi="Times New Roman;serif"/>
          <w:b w:val="false"/>
          <w:i/>
          <w:color w:val="000000"/>
          <w:sz w:val="14"/>
        </w:rPr>
        <w:t>(All amounts in thousands of U.S. dollars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4"/>
        <w:gridCol w:w="353"/>
        <w:gridCol w:w="358"/>
        <w:gridCol w:w="192"/>
        <w:gridCol w:w="654"/>
        <w:gridCol w:w="115"/>
        <w:gridCol w:w="109"/>
        <w:gridCol w:w="109"/>
        <w:gridCol w:w="109"/>
        <w:gridCol w:w="286"/>
        <w:gridCol w:w="738"/>
        <w:gridCol w:w="173"/>
        <w:gridCol w:w="109"/>
        <w:gridCol w:w="109"/>
        <w:gridCol w:w="109"/>
        <w:gridCol w:w="255"/>
        <w:gridCol w:w="763"/>
        <w:gridCol w:w="155"/>
        <w:gridCol w:w="109"/>
        <w:gridCol w:w="109"/>
        <w:gridCol w:w="109"/>
        <w:gridCol w:w="324"/>
        <w:gridCol w:w="292"/>
        <w:gridCol w:w="294"/>
        <w:gridCol w:w="109"/>
        <w:gridCol w:w="109"/>
        <w:gridCol w:w="109"/>
        <w:gridCol w:w="337"/>
        <w:gridCol w:w="337"/>
        <w:gridCol w:w="339"/>
        <w:gridCol w:w="109"/>
        <w:gridCol w:w="109"/>
        <w:gridCol w:w="109"/>
        <w:gridCol w:w="170"/>
        <w:gridCol w:w="170"/>
        <w:gridCol w:w="171"/>
        <w:gridCol w:w="109"/>
        <w:gridCol w:w="109"/>
        <w:gridCol w:w="109"/>
        <w:gridCol w:w="192"/>
        <w:gridCol w:w="656"/>
        <w:gridCol w:w="175"/>
      </w:tblGrid>
      <w:tr>
        <w:trPr/>
        <w:tc>
          <w:tcPr>
            <w:tcW w:w="7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Europa 3PL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Insighta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Digital assets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4"/>
              </w:rPr>
            </w:pPr>
            <w:r>
              <w:rPr>
                <w:rFonts w:ascii="Times New Roman;serif" w:hAnsi="Times New Roman;serif"/>
                <w:b/>
                <w:color w:val="000000"/>
                <w:sz w:val="14"/>
              </w:rPr>
              <w:t>Pro Forma - Combined</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w:t>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Digital assets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(44,629)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Interests in equity-accounted investees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Financial assets at fair value through profit or loss - non-current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assets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Non-current assets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 receivables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Deposits, prepayments and other receivables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due from related companies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Financial assets at fair value through profit or loss - current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31,192 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41,338 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(g),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143,469 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Current assets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196,135 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assets</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Liabilities</w:t>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w:t>
            </w:r>
          </w:p>
        </w:tc>
        <w:tc>
          <w:tcPr>
            <w:tcW w:w="1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20,053 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liabilities - non-current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Non-current liabilities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 payables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21,631 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liabilities - current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payable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Current liabilities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28,317 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liabilities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49,045 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Class A ordinary shares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Class B ordinary shares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Reserves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70,714 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(f), (g), (h), (i),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156,397 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equity attributable to equity shareholders of the Company</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equity</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equity and liabilities</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206,073 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i/>
          <w:color w:val="000000"/>
          <w:sz w:val="14"/>
        </w:rPr>
      </w:pPr>
      <w:r>
        <w:rPr>
          <w:rFonts w:ascii="Times New Roman;serif" w:hAnsi="Times New Roman;serif"/>
          <w:b w:val="false"/>
          <w:i/>
          <w:color w:val="000000"/>
          <w:sz w:val="14"/>
        </w:rPr>
        <w:t>See the accompanying notes to the Unaudited Pro Forma Condensed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12"/>
        </w:rPr>
      </w:pPr>
      <w:r>
        <w:rPr>
          <w:rFonts w:ascii="Times New Roman;serif" w:hAnsi="Times New Roman;serif"/>
          <w:b/>
          <w:color w:val="000000"/>
          <w:sz w:val="12"/>
        </w:rPr>
        <w:t>Unaudited pro forma statements of profit or loss and other comprehensive income</w:t>
      </w:r>
    </w:p>
    <w:p>
      <w:pPr>
        <w:pStyle w:val="TextBody"/>
        <w:bidi w:val="0"/>
        <w:spacing w:lineRule="auto" w:line="276" w:before="0" w:after="0"/>
        <w:jc w:val="left"/>
        <w:rPr>
          <w:rFonts w:ascii="Times New Roman;serif" w:hAnsi="Times New Roman;serif"/>
          <w:b/>
          <w:color w:val="000000"/>
          <w:sz w:val="12"/>
        </w:rPr>
      </w:pPr>
      <w:r>
        <w:rPr>
          <w:rFonts w:ascii="Times New Roman;serif" w:hAnsi="Times New Roman;serif"/>
          <w:b/>
          <w:color w:val="000000"/>
          <w:sz w:val="12"/>
        </w:rPr>
        <w:t>For the year ended December 31, 2025</w:t>
      </w:r>
    </w:p>
    <w:p>
      <w:pPr>
        <w:pStyle w:val="TextBody"/>
        <w:bidi w:val="0"/>
        <w:spacing w:lineRule="auto" w:line="276" w:before="0" w:after="0"/>
        <w:jc w:val="left"/>
        <w:rPr>
          <w:rFonts w:ascii="Times New Roman;serif" w:hAnsi="Times New Roman;serif"/>
          <w:b w:val="false"/>
          <w:i/>
          <w:color w:val="000000"/>
          <w:sz w:val="12"/>
        </w:rPr>
      </w:pPr>
      <w:r>
        <w:rPr>
          <w:rFonts w:ascii="Times New Roman;serif" w:hAnsi="Times New Roman;serif"/>
          <w:b w:val="false"/>
          <w:i/>
          <w:color w:val="000000"/>
          <w:sz w:val="12"/>
        </w:rPr>
        <w:t>(All amounts in thousands of U.S. dollars (“$”) unless otherwise indicated)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8"/>
        <w:gridCol w:w="481"/>
        <w:gridCol w:w="483"/>
        <w:gridCol w:w="222"/>
        <w:gridCol w:w="672"/>
        <w:gridCol w:w="146"/>
        <w:gridCol w:w="109"/>
        <w:gridCol w:w="109"/>
        <w:gridCol w:w="109"/>
        <w:gridCol w:w="247"/>
        <w:gridCol w:w="720"/>
        <w:gridCol w:w="164"/>
        <w:gridCol w:w="109"/>
        <w:gridCol w:w="109"/>
        <w:gridCol w:w="109"/>
        <w:gridCol w:w="270"/>
        <w:gridCol w:w="689"/>
        <w:gridCol w:w="179"/>
        <w:gridCol w:w="109"/>
        <w:gridCol w:w="109"/>
        <w:gridCol w:w="109"/>
        <w:gridCol w:w="264"/>
        <w:gridCol w:w="263"/>
        <w:gridCol w:w="265"/>
        <w:gridCol w:w="109"/>
        <w:gridCol w:w="109"/>
        <w:gridCol w:w="109"/>
        <w:gridCol w:w="351"/>
        <w:gridCol w:w="351"/>
        <w:gridCol w:w="353"/>
        <w:gridCol w:w="109"/>
        <w:gridCol w:w="109"/>
        <w:gridCol w:w="109"/>
        <w:gridCol w:w="135"/>
        <w:gridCol w:w="135"/>
        <w:gridCol w:w="136"/>
        <w:gridCol w:w="109"/>
        <w:gridCol w:w="109"/>
        <w:gridCol w:w="109"/>
        <w:gridCol w:w="189"/>
        <w:gridCol w:w="565"/>
        <w:gridCol w:w="185"/>
      </w:tblGrid>
      <w:tr>
        <w:trPr/>
        <w:tc>
          <w:tcPr>
            <w:tcW w:w="7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Prenetics Global Limited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Europa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Insighta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Digital assets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Pro Forma - Combined</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Continuing operations</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Revenue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92,390 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19,296 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73,094 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Direct costs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(19,183)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(24,417)</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48,790 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48,677 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income and other net gain</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 and marketing expenses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(35,524)</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Research and development expenses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(5,132)</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Impairment of goodwill</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Administrative and other operating expenses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(39,922)</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loss from continuing operations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(44,481)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(14,210)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(31,287)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gain on financial assets at fair value through profit or loss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warrant exchange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36,657 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loss on warrant liabilities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(17,943)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(17,943)</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Unrealized fair value loss on digital assets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of loss of equity-accounted investees, net of tax</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assets disposal</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disposal of an equity-accounted investee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(3,891)</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3,891 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finance costs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before taxation</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(36,213)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(7,583)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credit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from continuing operations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(36,247)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(7,617)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Discontinued operation</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from discontinued operation, net of tax</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(3,731)</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for the period</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(39,978)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(11,348)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Other comprehensive (expense)/income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Items that will not be reclassified subsequently to profit or loss: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of other comprehensive expense of equity-accounted investees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Item that may be reclassified subsequently to profit or loss: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cumulative translation reserve upon disposal of foreign operations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Exchange differences on translation of foreign operations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Other comprehensive income/(expense) for the period</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Total comprehensive expense for the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(39,362)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(10,706)</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attributable to:</w:t>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Equity shareholders of Prenetics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(9,079)</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(2,269)</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(39,978)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(11,348)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Total comprehensive expense attributable to:</w:t>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Equity shareholders of Prenetics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(8,504)</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(2,203)</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(39,362)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(10,707)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per share:</w:t>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Basic and 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(0.65)</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per share - Continuing operations: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Basic and diluted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(0.42)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i/>
          <w:color w:val="000000"/>
          <w:sz w:val="12"/>
        </w:rPr>
      </w:pPr>
      <w:r>
        <w:rPr>
          <w:rFonts w:ascii="Times New Roman;serif" w:hAnsi="Times New Roman;serif"/>
          <w:b w:val="false"/>
          <w:i/>
          <w:color w:val="000000"/>
          <w:sz w:val="12"/>
        </w:rPr>
        <w:t>See the accompanying notes to the Unaudited Pro Forma Condensed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Notes to the unaudited pro forma condensed financial statements</w:t>
      </w:r>
    </w:p>
    <w:p>
      <w:pPr>
        <w:pStyle w:val="TextBody"/>
        <w:bidi w:val="0"/>
        <w:spacing w:before="0" w:after="0"/>
        <w:jc w:val="left"/>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January 1, 2026, the Company entered into an Asset Purchase Agreement to divest Europa 3PL, and on February 13, 2026, the Company completed the Insighta disposition. The adjustment to the unaudited pro forma statement of financial position includes the derecognition of total assets of $69.1 million and the derecognition of total liabilities of $1.7 million. The pro forma adjustment to the unaudited pro forma statement of financial position to reflect the Europa 3PL disposition and Insighta disposition also includes other effects discussed in notes (c), (d), (e), (f), (g), (h) and (j).</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pro forma adjustments include the elimination of the historical operating results of the Europa 3PL for the year ended December 31, 2025, reflecting the disposal of the Europa 3PL business.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estimated pre-tax net gain of approximately $0.4 million from the Europa 3PL disposition is reflected as an adjustment on the unaudited pro forma statements of profit or loss and other comprehensive income for the year ended December 31, 2025. The estimated net gain on disposition is based on the historical carrying value of the net assets as of December 31, 2025. The actual gain or loss will be calculated based on the net book value as of the closing of the transaction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estimated pre-tax net gain of approximately $3.9 million from the Insighta disposition is reflected as an adjustment on the unaudited pro forma statements of profit or loss and other comprehensive income for the year ended December 31, 2025. The estimated net gain on disposition is based on the historical carrying amount of the Company’s interests as of December 31, 2025. The actual gain or loss will be calculated based on the net book value as of the closing of the transaction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5.There are no current or deferred income tax impacts expected in relation to the pro forma adjustments reflected in the unaudited pro forma statements of profit or loss and other comprehensive income for the year ended December 31, 2025. The Europa 3PL disposition, Insighta disposition and Digital assets disposition are not subject to profits tax, capital gains tax or withholding tax under the applicable laws of the relevant jurisdictions.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6.Includes the accrual of approximately $1.0 million of transaction costs incurred by the Company upon divestment of Europa 3PL and Insighta.</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7.Includes estimated cash proceeds of approximately $70.0 million from the Insighta disposition, included in cash and cash equivalents.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8.Includes estimated fair value of the share consideration proceeds of the Europa 3PL disposition of approximately $1.7 million, included in the financial assets at fair value through profit or loss as a non-current asset.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9.In May 2026, the Company executed trades through Kraken to divest an aggregate of 510.03 digital assets for total consideration of approximately $41.3 million, representing an average selling price of approximately $81,050 per digital asset. The pro forma adjustment to the unaudited pro forma statements of profit or loss and other comprehensive income includes the elimination of the historical unrealized fair value loss on digital assets of approximately $9.7 million recognized by the Company for the year ended December 31, 2025. The adjustment gives effect to the Digital assets disposition as if it had been consummated on January 1, 2025 and, accordingly, assumes that the Company would not have held the digital assets during the period and would not have recognized the related unrealized fair value loss. The estimated impact on reserves is based on the difference between the carrying amount of the Company’s digital assets holdings of approximately $44.6 million as of December 31, 2025, measured based on estimated fair value, and the actual disposal proceeds of approximately $41.3 million received in May 2026. The actual impact will be calculated based on the carrying amount of the digital assets holdings as of the date of disposition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10.Represents the elimination of the historical net asset balances attributable to Europa 3PL and the derecognition of the Company’s carrying amount of its investment in Insighta to reflect the Europa 3PL disposition and Insighta disposition.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6" w:name="i1ec8e4215a48489a8e56e60408f75040"/>
      <w:bookmarkEnd w:id="6"/>
      <w:r>
        <w:rPr>
          <w:rFonts w:ascii="Times New Roman;serif" w:hAnsi="Times New Roman;serif"/>
          <w:b/>
          <w:color w:val="000000"/>
          <w:sz w:val="20"/>
        </w:rPr>
        <w:t>THE OFFERING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1"/>
        <w:gridCol w:w="810"/>
        <w:gridCol w:w="812"/>
        <w:gridCol w:w="2359"/>
        <w:gridCol w:w="2186"/>
        <w:gridCol w:w="3117"/>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Class A Ordinary Shares being registered for resale by the Selling Shareholders</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2,359,172 Class A Ordinary Shares</w:t>
            </w:r>
          </w:p>
        </w:tc>
      </w:tr>
      <w:tr>
        <w:trPr/>
        <w:tc>
          <w:tcPr>
            <w:tcW w:w="25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color w:val="000000"/>
                <w:sz w:val="20"/>
              </w:rPr>
              <w:t>Class A Ordinary Shares outstanding prior to the offering</w:t>
            </w:r>
            <w:r>
              <w:rPr>
                <w:rFonts w:ascii="Times New Roman;serif" w:hAnsi="Times New Roman;serif"/>
                <w:b/>
                <w:color w:val="000000"/>
                <w:sz w:val="13"/>
              </w:rPr>
              <w:t>(1)</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15,198,385 Class A Ordinary Shares </w:t>
            </w:r>
          </w:p>
        </w:tc>
      </w:tr>
      <w:tr>
        <w:trPr/>
        <w:tc>
          <w:tcPr>
            <w:tcW w:w="25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Class A Ordinary Shares outstanding </w:t>
            </w:r>
          </w:p>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after completion of this offering (assuming </w:t>
            </w:r>
          </w:p>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full exercise of the Exchange Warrants) </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17,557,557 Class A Ordinary Shares</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Use of proceeds</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All of the securities offered by the Selling Shareholders pursuant to this prospectus will be sold by the Selling Shareholders for their respective accounts. We will not receive any of the proceeds from such sales, except with respect to amounts received by us upon exercise of the Exchange Warrants to the extent such Exchange Warrants are exercised for cash.</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Risk Factors</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Prospective investors should carefully consider the “Risk Factors” section for a discussion of certain factors that should be considered before buying the securities offered hereby.</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Listing</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Ordinary Shares are listed on the Nasdaq Global Market under the symbol “PRE .” The Exchange Warrants are not listed and we do not intend to apply for the listing of the Exchange Warrants on any national securities exchange or any other nationally recognized trading system. </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Based on an aggregate of 15,198,385 Class A Ordinary Shares outstanding as of August 7, 2026, and excludes: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1,492,307 Class A Ordinary Shares issuable upon exercise of 2021 Warrants outstanding, with an exercise price of $103.60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362,226 Class A Ordinary Shares issuable upon exercise of Class A warrants outstanding, with an exercise price of $24.12 per share;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362,226 Class A Ordinary Shares issuable upon exercise of Class B warrants outstanding, with an exercise price of $32.16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2,360,416 Class A Ordinary Shares issuable upon exercise of Class C warrants outstanding, with an exercise price of $18.00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568,746 Class A Ordinary Shares subject to restricted stock units;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215,251 Class A Ordinary Shares issuable under share subscription agreements executed with certain service providers in relation to our IM8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1,580,972 Class A Ordinary Shares issuable upon conversion of 1,580,972 outstanding Class B Ordinary Shares;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2,204,251 Class A Ordinary Shares which were repurchased by the Company through open market purchases and pursuant to publicly announced share repurchase programs and held by the Company as treasury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7" w:name="ic156f48dbc0b46cc96001d224f27e3f9"/>
      <w:bookmarkEnd w:id="7"/>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Before investing in our securities, you should carefully consider the risk factors described in our most recent annual report on Form 20-F, which is incorporated by reference herein, together with all of the other information in this prospectus and the documents incorporated by reference herein. If any of the risks described herein or therein actually occur, our business, financial condition, results of operations, and prospects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Doing Business in Hong Kong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operations in Hong Kong, a Special Administrative Region of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have no business operations in mainland China and do not utilize Variable Interest Entity (“VIE”) structures. Our operations are based in Hong Kong as a Special Administrative Region of China, which subjects us to a different regulatory framework than mainland Chinese companies. However, our Hong Kong operations expose us to certain legal and regulatory risks related to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Special Administrative Region Status: While Hong Kong operates under the "One Country, Two Systems" framework with its own legal and regulatory system, the Chinese government maintains significant oversight authority over Hong Kong. Changes in PRC policies or their application to Hong Kong could materially impact our business operations, regulatory compliance requirements, and ability to operate under the current legal framework.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Regulatory Extension: Although existing PRC regulations such as the Data Security Law, Cybersecurity Law, and Personal Information Protection Law do not currently apply directly to our Hong Kong operations, any future extension of these or similar regulations to Hong Kong could subject us to new compliance obligations. This could potentially affect our ability to operate efficiently, accept foreign investment, or maintain our U.S. listing.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Risks: Evolving U.S.-China relations and related policies may create additional regulatory complexities for Hong Kong-based companies like ours. Changes in trade policies, sanctions, or other geopolitical developments could affect our operations, market access, or ability to maintain our U.S. 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Prenetics, the holding company, does not conduct operations in China, though certain of the group’s subsidiaries conduct operations in Hong Kong, a special administrative region of the PRC. As a result, we face various legal and operational risks and uncertainties relating to our operations in Hong Kong, and from the evolving regulatory landscape in the PRC generally. As we presently do not have any business operations in mainland China, either directly or through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operations in Hong Kong and Macau.</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PRC government has recently indicated an intent to exert more oversight and control over offerings conducted overseas (including those using entity VIE structures) and foreign investment in China-based companies. This has been 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 Should the PRC government seek to affect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of any company with any level of operations in Hong Kong, should certain PRC laws and regulations or these statements or regulatory actions become applicable to us in the 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United States or to list on a U.S. or other international securities exchange, any of which may cause the value of our securities to significantly decline or become worthless. For example, if the recent PRC regulatory actions on data and cyberspace security were to apply to us, including our operations in Hong Kong or Macau, we could become subject to certain cybersecurity and data privacy obligations, including the potential requirement to conduct a cybersecurity review for our listing or continued listing on a U.S. or a foreign stock exchange, and the failure to meet such obligations could result in penalties and other regulatory actions against us and may materially and adversely affect our business and results of operations. Regulatory actions related to data security or anti-monopoly concerns in Hong Kong or Macau may also impact our ability to conduct our business, accept foreign investments, or continue to be listed or list on a U.S. or foreign stock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Unfavorable economic and political conditions in Hong Kong and other parts of Asia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Like many other companies that operate in Asia, our business will be materially affected by economic and political conditions in Asia, which could be negatively impacted by many factors beyond our control, such as inability to access capital markets, control of foreign exchange, changes in exchange rates, rising interest rates or inflation, slowing or negative growth rates, government involvement in allocation of resources, inability to meet financial commitments in a timely manner, terrorism, political uncertainty, epidemics or pandemics, civil unrest, fiscal or other economic policy of governments, and the timing and nature of any regulatory reform. Geopolitical uncertainties may also give rise to uncertainties in global economic conditions and adversely affect general investor confidence.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Political unrest such as protests or demonstrations could disrupt economic activities and adversely affect our business. There can be no assurance that these protests and other economic, social, or political unrest in the future will not have a material adverse effect on our financial conditions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 currently do not have any business operations in mainland China or generate revenues from any businesses in mainland China. We believe that the laws and regulations of mainland China do not currently have any material impact on our business operations, and the mainland Chinese government does not currently exert direct influence or intervention over the manner in which we conduct our business. However, if we do decide to expand our operations into mainland China in the future, we could be subject to the significant oversight of the mainland Chinese government. In addition, because of our substantial operations in Hong Kong and given the mainland Chinese government’s significant oversight authority over the conduct of business in Hong Kong generally, there is no guarantee that we will not be subject to such direct influence or intervention in the future due to changes in laws or other unforeseeable reasons. There is always a risk that the mainland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There also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PRC legal system is evolving rapidly and the PRC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were to become subject to the direct intervention or influence of the mainland Chinese government at any time due to changes in laws or other unforeseeable reasons, it may require a material change in our operations and/or result in increased costs necessary to comply with existing and newly adopted laws and regulations or penalties for any failure to comply. In addition, the market prices and value of our securities could be adversely affected as a result of anticipated negative impacts of any such government actions, as well as negative investor sentiment towards Hong Kong-based companies subject to direct mainland Chinese government oversight and regulation, regardless of our actual operating performance. There can be no assurance that the mainland Chinese government will not intervene in or influence our current or future operations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PRC government has recently indicated an intent to exert more oversight and control over offerings that are conducted in the United States or in other international jurisdictions and/or foreign investment in China-based issuers. Based on the advice of our PRC legal counsel, DaHui Lawyers, we believe that we are currently not required to obtain any permission or approval from the CSRC, CAC or any other PRC governmental authority to operate our business or to list our securities on a U.S. securities exchange or issue securities to foreign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the issuance of securities to foreign investors, the Regulations on Mergers and Acquisitions of Domestics Enterprises by Foreign Investors (“M&amp;A Rules”) include, among other things, provisions that purport to require any offshore special purpose vehicle that is controlled by PRC companies or individuals and formed for the purpose of seeking a public listing on an overseas stock exchange through acquisition of PRC domestic companies to obtain the approval of the CSRC prior to the listing and trading of its securities on an overseas stock exchange. On September 21, 2006, the CSRC published on its official website procedures specifying documents and materials required to be submitted to it by any such special purpose vehicle seeking CSRC’s approval of overseas listings. However, substantial uncertainty remains regarding the scope and applicability of the M&amp;A Rules and the CSRC approval requirement to offshore special purpose vehicles.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revised Measures for Cybersecurity Review, or Review Measures, came into effect on February 15, 2022. The Review Measures stipulate that cybersecurity review is mandatory where a network platform operator that has personal information of more than one million users seeks to list overseas. As advised by our PRC legal counsel, DaHui Lawyers, the offering of our securities is not subject to the foregoing cybersecurity review. That said, the Review Measures provide CAC and relevant authorities certain discretion to initiate cybersecurity review where any network product or service or any data handling activity is considered to affect or may affect national security, which may lead to uncertainties in relation to the impact of the Review Measures impact on our operations or the offering of our securities. As of the date of this prospectus, there are no commensurate laws or regulations in Hong Kong which result in similar significant oversight over data security for companies seeking to offer securities on a foreign exchange. However, we cannot guarantee that, if, in the future, such laws or regulations were issued in Hong Kong, we would be compliant with such laws or regulations in a timely manner or at all. In addition, we may have to spend significant time and costs to become compliant. If we are unable to do so, on commercially reasonable terms, in a timely manner or otherwise, we may become subject to sanctions imposed by the relevant regulatory authorities, and our ability to conduct our business, or offer securities on a U.S. or other international securities exchange may be restricted. As a result of the foregoing, our business, reputation, financial condition, and results of operations may be materially and adversely affected.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Further, on July 6, 2021, the General Office of the Communist Party of China Central Committee and the General Office of the State Council jointly issued Opinions on Strictly Cracking Down on Illegal Securities Activities in accordance with the Law (“Opinions”). These Opinions have laid the groundwork for strengthening the Chinese government’s monitoring of illegal securities activities in China and the supervision of overseas listings by China-based companies. The Opinions generally provide that existing laws and regulations regarding data security, cross-border data transmission, and the protection of classified information should be further supplemented, and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PRC government will seek to deepen its cross-border audit supervision cooperation with the regulatory bodies in other countries in law-based and reciprocal manner. On February 17, 2023, CSRC released the Trial Administrative Measures of Overseas Securities Offering and Listing by Domestic Companies and five supporting guidelines (collectively, “New Overseas Listing Rules”), which have come into effect on March 31, 2023. New Overseas Listing Rules stipulate filing requirements for foreign direct or indirect issuance and listing of securities by domestic companies. As advised by our PRC legal counsel, DaHui Lawyers, the offering of our securities is not subject to the New Overseas Listing Rules or filing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their understanding of the current PRC laws and regulations, our PRC legal counsel, DaHui Lawyers, has advised that we are not required to obtain any prior permission under the M&amp;A Rules or the Opinions from any PRC governmental authorities (including the CSRC) for the offering or listing of our securities in the United States, given that: (a) the CSRC currently has not issued any definitive rule or interpretation concerning whether offerings like ours are subject to the M&amp;A Rules; and (b) we are not controlled by PRC companies or individuals nor formed for the purpose of seeking a public listing on an overseas stock exchange through acquisition of PRC domestic companies. In addition, our PRC legal counsel, DaHui Lawyers, has advised that the offering or listing of our securities is neither subject to the mandatory cybersecurity review under the Review Measures nor the filing requirements under New Overseas Listing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there is no guarantee that this will continue to be the case in relation to the continued listing of our securities on a securities exchange outside of China, or even if such permission is required and obtained, it will not be subsequently denied or rescinded. Any actions by the Chinese government to exert more oversight and control over offerings or listings that are conducted in the United States or in other international jurisdictions (including those by issuers whose primary operations are in Hong Kong)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 our operations primarily through our subsidiaries in Hong Kong and other jurisdictions. For the years ended December 31, 2021, December 31, 2022, December 31, 2023, December 31, 2024, and December 31, 2025 we generated all of our revenue from our businesses outside of mainland China. Moreover, we do not sell any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Accordingly, we believe that the laws and regulations of mainland China, including the developments in cybersecurity laws and regulations of mainland China, do not currently have any material impact on our business, financial condition and results of operations or the listing of our securities, notwithstanding the fact that we have substantial operations in Hong Kong.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Basic Law of the Hong Kong Special Administrative Region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While the National People’s Congress of the PRC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enacted version of PRC Data Security Law, the revised Measures for Cybersecurity Review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Review Measures”) issued by the CAC, and the PRC Personal Information Protection Law, do not apply in Hong Kong.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PRC laws and regulations were to become applicable in Hong Kong in the future, the application of such laws and regulations may have a material adverse impact on our business, financial condition and results of operations and our ability to offer or continue to offer securities to investors, any of which may cause the value of our securities to significantly decline or become worthless. In addition, the laws and regulations in the PRC are evolving, and their enactment timetable, interpretation and implementation involve significant uncertainties. To the extent any PRC laws and regulations become applicable to our business, we may be subject to the risks and uncertainties associated with the legal system in the PRC including with respect to the enforcement of laws and the possibility of changes of rules and regulations with little or no advance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Tariffs and trade restrictions on non-U.S. materials could adversely affect our supply chain, costs,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source certain packaging materials, ingredients, components, and equipment used in our business and products from suppliers outside the United States, including in China. Recent and proposed U.S. tariffs, including those announced in 2025 targeting imports from China and Hong Kong, could significantly increase the cost of these non-U.S. materials or disrupt our supply chain. These tariffs may increase our operational costs, particularly for materials not manufactured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Higher tariffs could lead to increased prices from our suppliers, reduced availability of critical components, or delays in production and delivery, adversely affecting our ability to meet customer demand. While we are exploring mitigation strategies, such as diversifying our supplier base or seeking alternative materials, there is no assurance that these efforts will fully offset the impact. Additionally, retaliatory tariffs from other countries, as seen in prior trade disputes, could further complicate our global supply chain, particularly given our operations in Hong Kong, which is subject to evolving U.S. and Chinese regulatory oversight.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the Offering of the Class A Ordinary Shares Underlying the Exchange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resale of our Class A Ordinary Shares by the Selling Shareholders or other significant shareholders may cause the market price of our Class A Ordinary Shares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may sell a significant number of our Class A Ordinary Shares in the public market at any time after this registration statement becomes effective. Additionally, certain of our shareholders are subject to contractual lock-ups, and upon expiration or waiver of the applicable lock-up periods, certain of our shareholders and certain other significant shareholders may sell large amounts of our ordinary shares in the open market or in privately negotiated transactions. Sales of a substantial number of our Class A Ordinary Shares in the public market, or the perception that such sales could occur, could adversely affect the market price of our Class A Ordinary Shares and could have the effect of increasing the volatility in our share price or putting significant downward pressure on the price of our Class A Ordinary Shares. A decline in the market price of our Class A Ordinary Shares could make it more difficult for us to sell equity or equity-related securities in the future at a time and price that we deem appropriate,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you purchase Class A Ordinary Shares following this offering, you may experience immediate dilution.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exercise price of the Exchange Warrants is $18.00 per Class A Ordinary Share. If the Exchange Warrants are exercised, existing shareholders will experience dilution. Additionally, to the extent the market price of our Class A Ordinary Shares at the time of exercise exceeds the exercise price of the Exchange Warrants, investors who purchase Class A Ordinary Shares following such exercise will experience immediate dilution. The issuance of additional Class A Ordinary Shares upon exercise of the Exchange Warrants will dilute the ownership interests of our existing shareholders.</w:t>
      </w:r>
    </w:p>
    <w:p>
      <w:pPr>
        <w:pStyle w:val="TextBody"/>
        <w:bidi w:val="0"/>
        <w:spacing w:before="0" w:after="0"/>
        <w:jc w:val="left"/>
        <w:rPr/>
      </w:pPr>
      <w:r>
        <w:rPr/>
      </w:r>
    </w:p>
    <w:p>
      <w:pPr>
        <w:pStyle w:val="TextBody"/>
        <w:bidi w:val="0"/>
        <w:spacing w:lineRule="auto" w:line="288"/>
        <w:jc w:val="left"/>
        <w:rPr>
          <w:rFonts w:ascii="Times New Roman;serif" w:hAnsi="Times New Roman;serif"/>
          <w:b/>
          <w:i/>
          <w:color w:val="000000"/>
          <w:sz w:val="20"/>
        </w:rPr>
      </w:pPr>
      <w:r>
        <w:rPr>
          <w:rFonts w:ascii="Times New Roman;serif" w:hAnsi="Times New Roman;serif"/>
          <w:b/>
          <w:i/>
          <w:color w:val="000000"/>
          <w:sz w:val="20"/>
        </w:rPr>
        <w:t>We will not receive any proceeds from the sale of Class A Ordinary Shares by the Selling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will receive the net proceeds from the sale of the Class A Ordinary Shares offered by this prospectus. We will not receive any proceeds from the sale of Class A Ordinary Shares by the Selling Shareholders, except with respect to amounts received by us upon exercise of the Exchange Warrants to the extent such Exchange Warrants are exercised for cash. However, we cannot predict when, or if, the Exchange Warrants will be 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Selling Shareholders may sell all, some or none of their Class A Ordinary Shares, and we do not know when or in what amount the Selling Shareholders may sell their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may sell all, some or none of the Class A Ordinary Shares covered by this prospectus. We do not know when or in what amount the Selling Shareholders may sell their Class A Ordinary Shares following the effective date of this registration statement. The Selling Shareholders may sell their Class A Ordinary Shares at any time at then-prevailing market prices, in private transactions or otherwise. The registration of the Class A Ordinary Shares on behalf of the Selling Shareholders does not necessarily mean that any of the Selling Shareholders will offer or sell their shares under this registration statement or at any time in the near future. We cannot predict when, or in what amounts, the Selling Shareholders may sell any of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prices of our Class A Ordinary Shares may be volatile and a market for our Class A Ordinary Shares may not develop, which would adversely affect the liquidity and price of our Class A Ordinary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prices of our Class A Ordinary Shares may be volatile and may fluctuate due to a variety of factors, some of which are beyond our control, including, but not limited to: (i) changes in the sectors in which we operate; (ii) changes in our projected operating and financial results; (iii) changes in laws and regulations affecting our business; (iv) ability to continue to innovate and bring products to market in a timely manner; (v) changes in our senior management team, our board of directors or key personnel; (vi) our involvement in litigation or investigations; (vii) the anticipation of releases of remaining lock-up restrictions; (viii) negative publicity about us or our products; (ix) the volume of Class A Ordinary Shares available for public sale; (x) announcements of significant business developments, acquisitions, or new offerings; (xi) general economic, political, regulatory, industry, and market conditions; and (xii) natural disasters or major catastrophic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active trading market for our Class A Ordinary Shares may never develop or, if developed, may not be sustained. You may be unable to sell your Class A Ordinary Shares unless a market can be established and sustained.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may cause the market price and demand for our Class A Ordinary Shares to fluctuate substantially, which may limit or prevent investors from readily selling their shares and may otherwise negatively affect the liquidity of Class A Ordinary Shares. Following periods of such volatility in the market price of a company’s securities, securities class action litigation has often been brought against that company. Because of the potential volatility of Class A Ordinary Shares, we may become the target of securities litigation in the future. Securities litigation could result in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limited by shares incorporated under the laws of the Cayman Islands, and we conduct the majority of our operations through subsidiaries outside the United States. Substantially all of our assets, and the assets of our directors and executive officers, are located outside the United States. A majority of our directors and officers reside in Hong Kong, and none reside in mainland China. In particular, each of Danny Sheng Wu Yeung, our director and chief executive officer, Cheng Yin Pan, our director, and Lo Hoi Chun, our chief financial officer, reside in Hong Kong, a Special Administrative Region of China. As a result, it may be difficult for U.S. investors to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service of process on us or these individuals, to bring actions in foreign courts under U.S. securities laws, or to enforce U.S. court judgments abroad.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corporate affairs are governed by the Cayman Islands Companies Act, our amended and restated memorandum and articles of association, and Cayman Islands common law. The rights of shareholders under Cayman law are more limited than those under U.S. law and are based in part on English common law precedent, which is persuasive but not binding in the Cayman Islands. For example, shareholders of Cayman Islands companies have no general right to inspect corporate records beyond those required by law, such as the memorandum and articles of association, a list of directors, and any shareholder-approved resolutions. Our amended and restated memorandum and articles of association allow directors to restrict access to financial records and other company documents, further limiting shareholder visibility.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also have more limited ability to pursue derivative actions in Cayman courts compared to U.S. jurisdictions. Cayman law may restrict actions for breaches of fiduciary duties, and shareholders may not be able to bring such claims in U.S. courts. In addition, Cayman courts may be unwilling to recognize or enforce U.S. judgments predicated on securities law violations, particularly where such judgments are deemed penal in nature. Although a final, conclusive foreign judgment may be recognized in the Cayman Islands as a debt claim, enforcement is subject to several conditions, including jurisdictional adequacy, procedural fairness, and alignment with local public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foreign private issuer listed on the Nasdaq Global Market, we are permitted to follow certain home country corporate governance practices in lieu of Nasdaq’s domestic issuer requirements. To the extent we elect to rely on these exemptions under Nasdaq Rule 5615(a)(3), shareholders may not receive the same level of protection as would be provided under U.S. corporate governance standards. For example, our board composition, committee structure, and shareholder approval requirements may differ from those applicable to U.S.-incorporated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jurisdictional and legal differences may make it more difficult for shareholders to assert claims, protect their interests, obtain corporate information, or influence management or board decisions. As a result, investors in our securities may face greater challenges in protecting their rights than shareholders of companies incorporated and operating primarily in the United States. See “Enforceability Of Civil Liabilities and Agent for Service of Process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PCAOB had historically been unable to inspect our auditor in relation to their audit work.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Our auditor, the independent registered public accounting firm that issues the audit report included in our most recent annual report on Form 20-F for the year ended December 31, 2025, as an auditor of companies that are traded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publicly in the United States and a firm registered with the PCAOB, is subject to laws in the United States pursuant to which the PCAOB conducts regular inspections to assess its compliance with the applicable professional standards. The auditor is located in Hong Kong,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securities would be deprived of the benefits of such PCAOB inspections again, which could cause investors and potential investors in our securities to lose confidence in our audit procedures and reported financial information and the quality of our financial statements. Any of the foregoing could have a material adverse effect on the market value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Holding Foreign Companies Accountable Act, as amended by the Consolidated Appropriations Act, 2023, or the HFCAA, if the SEC determines that an issuer has filed audit reports issued by a registered public accounting firm located in a jurisdiction that has not been subject to inspections by the PCAOB for two consecutive years, the SEC will prohibit the securities of the issuer from being traded on a national securities exchange or in the over-the-counter trading market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22, 2021, the U.S. Senate passed the Accelerating Holding Foreign Companies Accountable Act and on December 29, 2022, the Consolidated Appropriations Act was signed into law by President Biden, which, among other things, reduced the number of consecutive non-inspection years required for triggering the prohibitions under the Holding Foreign Companies Accountable Act from three years to two years. The decrease in non-inspection years would reduce the time period before our securities may be prohibited from trading or delisted if the PCAOB determines that it is unable to inspect or investigate completely registered public accounting firms located in Hong Kong, China, under the HFCAA. The location of our auditor is in Hong Kong,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16, 2021, the PCAOB issued a report to notify the SEC of its determination that the PCAOB was unable to inspect or investigate completely registered public accounting firms headquartered in mainland China or Hong Kong. On December 15, 2022, the PCAOB removed mainland China and Hong Kong from the list of jurisdictions where it is unable to inspect or investigate completely registered public accounting firms.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securities may be delisted from Nasdaq as a result of our failure of meeting the Nasdaq continued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securities are currently listed on Nasdaq under the symbol “PRE.” On June 29, 2023, we received a written notice from Nasdaq, notifying us that the Company was not in compliance with the minimum bid price requirement set forth under the Nasdaq Listing Rule 5450(a)(1) (the “Minimum Bid Price Requirement”) as the bid price of the Company’s securities closed below US$1.00 per share for 30 consecutive business days. Pursuant to the Nasdaq Listing Rules, the applicable grace period to regain compliance is 180 days. We had until December 29, 2023 to regain compliance with the Minimum Bid Price Requirement. On November 1, 2023, our shareholders approved a 1-for-15 reverse stock split of our issued and unissued Class A Ordinary Shares and Class B Ordinary Shares, which was effected on November 14, 2023. The effect of the reverse stock split was to consolidate every 15 issued and unissued Class A Ordinary Share and Class B Ordinary Share of US$0.0001 par value each into one Class A Ordinary Share or Class B Ordinary Share, as applicable, of US$0.0015 par value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29, 2023, we received a notification letter from Nasdaq, indicating that the closing bid price of the Company’s securities had been at US$1.00 per share or greater for 10 consecutive business days from November 14, 2023 through November 28, 2023, and the Company had regained compliance with the Minimum Bid Price Requirement, and the matter is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there can be no assurance that our securities will remain in compliance with the Nasdaq Global Market continued listing requirements going forward. If Nasdaq determines to delist our securities, or if we fail to list our securities on other stock exchanges or find alternative trading venue for our securities, the market liquidity and the value of an investment in our securities will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8" w:name="i7922a6835b2f47f1b8d3961a5c374e63"/>
      <w:bookmarkEnd w:id="8"/>
      <w:r>
        <w:rPr>
          <w:rFonts w:ascii="Times New Roman;serif" w:hAnsi="Times New Roman;serif"/>
          <w:b/>
          <w:color w:val="000000"/>
          <w:sz w:val="20"/>
        </w:rPr>
        <w:t>TRANSACTIONS RELATING TO THE ISSUANCE OF THE EXCHANGE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28, 2025, in connection with the October Offering, the Company issued (i) 2,722,642 Class A Ordinary Shares, (ii) Class A warrants to purchase up to 2,722,642 Class A Ordinary Shares at an exercise price of $24.12 per share, (iii) Class B warrants to purchase up to 2,722,642 Class A Ordinary Shares at an exercise price of $32.16 per share</w:t>
      </w:r>
      <w:r>
        <w:rPr>
          <w:color w:val="000000"/>
        </w:rPr>
        <w:t xml:space="preserve"> </w:t>
      </w:r>
      <w:r>
        <w:rPr>
          <w:rFonts w:ascii="Times New Roman;serif" w:hAnsi="Times New Roman;serif"/>
          <w:b w:val="false"/>
          <w:color w:val="000000"/>
          <w:sz w:val="20"/>
          <w:shd w:fill="FFFFFF" w:val="clear"/>
        </w:rPr>
        <w:t>and (iv) Placement Agent warrants to purchase up to 131,829 Class A Ordinary Shares at an exercise price of $16.08 per share (the Class A warrants and Class B warrants</w:t>
      </w:r>
      <w:r>
        <w:rPr>
          <w:color w:val="000000"/>
        </w:rPr>
        <w:t xml:space="preserve"> </w:t>
      </w:r>
      <w:r>
        <w:rPr>
          <w:rFonts w:ascii="Times New Roman;serif" w:hAnsi="Times New Roman;serif"/>
          <w:b w:val="false"/>
          <w:color w:val="000000"/>
          <w:sz w:val="20"/>
        </w:rPr>
        <w:t>collectively, the "October Warrants"). The October Offering was conducted as a best efforts public offering pursuant to a prospectus supplement dated October 28, 2025 to the Shelf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23, 2025 and December 31, 2025, we entered into the December Warrant Exchange Agreements with certain holders of the October Warrants, pursuant to which the October Warrants were exchanged at a ratio of two October Warrants for one Exchange Warrant. The Exchange Warrants were issued in reliance on the exemption from registration provided by Section 3(a)(9) of the Securities Act of 1933, as amended (the "Securities Act"), which exempts from registration any security exchanged by the issuer with its existing security holders exclusively where no commission or other remuneration is paid or given directly or indirectly for soliciting such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Exchange Warrant entitles the holder to purchase one Class A Ordinary Share at an exercise price of $18.00 per share. The Exchange Warrants will become exercisable upon the effectiveness of the registration statement of which this prospectus forms a part and will remain exercisable for a period of two years following the date they first become exercisable. The Exchange Warrants contain customary anti-dilution adjustments in the event of stock dividends, stock splits, reorganizations or similar events affecting the Class A Ordinary Shares. The Exchange Warrants are not listed on any securities exchange and we do not intend to list the Exchange Warrants on any securities exchange or nationally recognized trading 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receive any cash proceeds from the issuance of the Exchange Warrants. We may receive proceeds from the exercise of the Exchange Warrants to the extent such warrants are exercised for cash. If all of the Exchange Warrants were exercised for cash, we would receive aggregate gross proceeds of approximately $42.5 million. However, we cannot predict when, or if, the Exchange Warrants will be exercised, and it is possible that the Exchange Warrants may expire and never be exercised.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9" w:name="ic4e64ef7aae14bdb95625893730d2cc7"/>
      <w:bookmarkEnd w:id="9"/>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of the Class A Ordinary Shares by the Selling Shareholders. We will not receive any of the proceeds from the sale of the Class A Ordinary Shares offered by this prospectus, except with respect to amounts received by us upon exercise of the Exchange Warrants to the extent such Exchange Warrants are exercised for cash. All of the securities offered by the Selling Shareholders pursuant to this prospectus will be sold by the Selling Shareholders for their respective accounts. The net proceeds from the sale of the Class A Ordinary Shares offered by this prospectus will be received by the Selling Shareholders. The Selling Shareholders will pay any underwriting, broker-dealer or agent discounts, concessions and commissions and expenses incurred by the Selling Shareholders for accounting, tax, and legal services and any other expenses incurred by the Selling Shareholders in disposing of the Class A Ordinary Shares, unless otherwise agreed to by us. We will bear all other costs, fees and expenses incurred in effecting the registration of the Class A Ordinary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0" w:name="ie98a7741134f419688faf715bf8de75c"/>
      <w:bookmarkEnd w:id="10"/>
      <w:r>
        <w:rPr>
          <w:rFonts w:ascii="Times New Roman;serif" w:hAnsi="Times New Roman;serif"/>
          <w:b/>
          <w:color w:val="000000"/>
          <w:sz w:val="20"/>
        </w:rPr>
        <w:t>DIVIDEND POLICY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any cash dividend on our Class A Ordinary Shares as of the date of this registration statement. We currently intend to retain any future earnings and do not expect to pay any dividends in the foreseeable future. Any future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1" w:name="i8938e4d1d087470abfc19653944edeff"/>
      <w:bookmarkEnd w:id="11"/>
      <w:r>
        <w:rPr>
          <w:rFonts w:ascii="Times New Roman;serif" w:hAnsi="Times New Roman;serif"/>
          <w:b/>
          <w:color w:val="000000"/>
          <w:sz w:val="20"/>
        </w:rPr>
        <w:t>SELLING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Class A Ordinary Shares offered by the Selling Shareholders are those issuable upon exercise of the Exchange Warrants. We are registering the Class A Ordinary Shares in order to permit the Selling Shareholders to offer the Class A Ordinary Shares for resale from time to time. Except for the ownership of the Exchange Warrants, none of the Selling Shareholders have had any material relationship with us within the past three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each Selling Shareholder, including (i) the Class A Ordinary Shares beneficially owned by such Selling Shareholder prior to this offering, (ii) the number of Class A Ordinary Shares being offered by such Selling Shareholder pursuant to this prospectus and (iii) such Selling Shareholder’s beneficial ownership after completion of this offering. The registration of the Class A Ordinary Shares does not necessarily mean that the Selling Shareholders will sell all or any of such Class A Ordinary Shares, but the number of Class A Ordinary Shares and percentages set forth in the final column below assumes that all Class A Ordinary Shares being offered by the Selling Shareholders are sold. The final two columns also assume the exercise of all of the Exchange Warrants held by the Selling Shareholders as of August 7, 2026, without regard to any limitations on exercise described in this prospectus or in the Exchange Warrants. See “Plan of Distribution.”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is based on information supplied to us by the Selling Shareholders, with beneficial ownership and percentage ownership determined in accordance with the rules and regulations of the SEC, and includes voting or investment power with respect to Class A Ordinary Shares. This information does not necessarily indicate beneficial ownership for any other purpose. In computing the number of Class A Ordinary Shares beneficially owned by the Selling Shareholder and the percentage ownership of that Selling Shareholder, Class A Ordinary Shares subject to the exercise of the Exchange Warrants are deemed outstanding. Such Class A Ordinary Shares, however, are not deemed outstanding for the purposes of computing the percentage ownership of any other Selling Shareholder.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prospectus covers the resale of 2,359,172 Class A Ordinary Shares exercisable under the Exchange Warrants that may be sold or otherwise disposed of by the Selling Shareholders. The Exchange Warrants are exercisable at any time on or after the date of effectiveness of this resale registration statement (the “Initial Exercise Date”) registering the underlying Warrant Shares and expire two (2) years from the Initial Exercise Date. See “</w:t>
      </w:r>
      <w:r>
        <w:rPr>
          <w:rFonts w:ascii="Times New Roman;serif" w:hAnsi="Times New Roman;serif"/>
          <w:b w:val="false"/>
          <w:i/>
          <w:color w:val="000000"/>
          <w:sz w:val="20"/>
        </w:rPr>
        <w:t>Transactions Relating to the Issuance of the Exchange Warrants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The Offering</w:t>
      </w:r>
      <w:r>
        <w:rPr>
          <w:color w:val="000000"/>
        </w:rPr>
        <w:t xml:space="preserve">” </w:t>
      </w:r>
      <w:r>
        <w:rPr>
          <w:rFonts w:ascii="Times New Roman;serif" w:hAnsi="Times New Roman;serif"/>
          <w:b w:val="false"/>
          <w:color w:val="000000"/>
          <w:sz w:val="20"/>
        </w:rPr>
        <w:t>in this prospectus for further details relating to the Exchange Warrants and Warrant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Selling Shareholders identified below has confirmed to us that it is not a broker-dealer or an affiliate of a broker-dealer within the meaning of United States federal securities laws.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6"/>
        <w:gridCol w:w="360"/>
        <w:gridCol w:w="363"/>
        <w:gridCol w:w="109"/>
        <w:gridCol w:w="109"/>
        <w:gridCol w:w="109"/>
        <w:gridCol w:w="201"/>
        <w:gridCol w:w="201"/>
        <w:gridCol w:w="201"/>
        <w:gridCol w:w="390"/>
        <w:gridCol w:w="220"/>
        <w:gridCol w:w="202"/>
        <w:gridCol w:w="109"/>
        <w:gridCol w:w="109"/>
        <w:gridCol w:w="109"/>
        <w:gridCol w:w="209"/>
        <w:gridCol w:w="209"/>
        <w:gridCol w:w="209"/>
        <w:gridCol w:w="342"/>
        <w:gridCol w:w="285"/>
        <w:gridCol w:w="210"/>
        <w:gridCol w:w="109"/>
        <w:gridCol w:w="109"/>
        <w:gridCol w:w="109"/>
        <w:gridCol w:w="395"/>
        <w:gridCol w:w="395"/>
        <w:gridCol w:w="395"/>
        <w:gridCol w:w="568"/>
        <w:gridCol w:w="395"/>
        <w:gridCol w:w="397"/>
        <w:gridCol w:w="109"/>
        <w:gridCol w:w="109"/>
        <w:gridCol w:w="109"/>
        <w:gridCol w:w="176"/>
        <w:gridCol w:w="176"/>
        <w:gridCol w:w="176"/>
        <w:gridCol w:w="176"/>
        <w:gridCol w:w="176"/>
        <w:gridCol w:w="176"/>
        <w:gridCol w:w="176"/>
        <w:gridCol w:w="176"/>
        <w:gridCol w:w="182"/>
        <w:gridCol w:w="109"/>
        <w:gridCol w:w="109"/>
        <w:gridCol w:w="336"/>
      </w:tblGrid>
      <w:tr>
        <w:trPr/>
        <w:tc>
          <w:tcPr>
            <w:tcW w:w="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41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w:t>
              <w:br/>
              <w:t>Class A Ordinary Shares</w:t>
              <w:br/>
              <w:t>Beneficially Owned Prior to</w:t>
              <w:br/>
              <w:t xml:space="preserve">Offering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464"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Maximum</w:t>
              <w:br/>
              <w:t>Number of</w:t>
              <w:br/>
              <w:t>Class A Ordinary Shares</w:t>
              <w:br/>
              <w:t>Offered</w:t>
              <w:br/>
              <w:t>Pursuant to this</w:t>
              <w:br/>
              <w:t>Prospectus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254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Shares of Class A Ordinary Shares Beneficially Owned After Offering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Percentage of Class A Ordinary Shares </w:t>
              <w:br/>
              <w:t>Beneficially</w:t>
              <w:br/>
              <w:t>Owned After</w:t>
              <w:br/>
              <w:t>Offering</w:t>
            </w:r>
            <w:r>
              <w:rPr>
                <w:rFonts w:ascii="Times New Roman;serif" w:hAnsi="Times New Roman;serif"/>
                <w:b w:val="false"/>
                <w:color w:val="000000"/>
                <w:sz w:val="13"/>
              </w:rPr>
              <w:t>(2)</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3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0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12"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855"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088" w:type="dxa"/>
            <w:gridSpan w:val="6"/>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19 Growth Capital Fund LP</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310,750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80"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3i, LP</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AKITA Partners LLC</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Alex Linss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American Ventures LLC</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314,055</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80"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O’Connell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AV8 Group LLC</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8911" w:type="dxa"/>
        <w:jc w:val="center"/>
        <w:tblInd w:w="0" w:type="dxa"/>
        <w:tblLayout w:type="fixed"/>
        <w:tblCellMar>
          <w:top w:w="28" w:type="dxa"/>
          <w:left w:w="28" w:type="dxa"/>
          <w:bottom w:w="28" w:type="dxa"/>
          <w:right w:w="28" w:type="dxa"/>
        </w:tblCellMar>
      </w:tblPr>
      <w:tblGrid>
        <w:gridCol w:w="1215"/>
        <w:gridCol w:w="1069"/>
        <w:gridCol w:w="1076"/>
        <w:gridCol w:w="109"/>
        <w:gridCol w:w="109"/>
        <w:gridCol w:w="109"/>
        <w:gridCol w:w="109"/>
        <w:gridCol w:w="109"/>
        <w:gridCol w:w="109"/>
        <w:gridCol w:w="211"/>
        <w:gridCol w:w="173"/>
        <w:gridCol w:w="173"/>
        <w:gridCol w:w="109"/>
        <w:gridCol w:w="109"/>
        <w:gridCol w:w="109"/>
        <w:gridCol w:w="109"/>
        <w:gridCol w:w="109"/>
        <w:gridCol w:w="109"/>
        <w:gridCol w:w="224"/>
        <w:gridCol w:w="224"/>
        <w:gridCol w:w="228"/>
        <w:gridCol w:w="109"/>
        <w:gridCol w:w="109"/>
        <w:gridCol w:w="109"/>
        <w:gridCol w:w="109"/>
        <w:gridCol w:w="109"/>
        <w:gridCol w:w="109"/>
        <w:gridCol w:w="224"/>
        <w:gridCol w:w="224"/>
        <w:gridCol w:w="228"/>
        <w:gridCol w:w="109"/>
        <w:gridCol w:w="109"/>
        <w:gridCol w:w="109"/>
        <w:gridCol w:w="109"/>
        <w:gridCol w:w="109"/>
        <w:gridCol w:w="109"/>
        <w:gridCol w:w="109"/>
        <w:gridCol w:w="109"/>
        <w:gridCol w:w="109"/>
        <w:gridCol w:w="109"/>
        <w:gridCol w:w="109"/>
        <w:gridCol w:w="109"/>
        <w:gridCol w:w="10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AVFUNDS LLC BNY</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AVFUNDS LLC WEDBUSH</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Baja Portfolios LLC</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Bear Lake Capital LLC</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BJI Financial Group Inc.</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Brent C Richards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Hallinan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Weitman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Brick Lane Capital Management</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Wilson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Heifetz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Levy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Cardinal Capital Holdings MGMT</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Chaudry Capital LLC</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Rinaldi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Schraft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Clayton Struve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Clifford 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Colt Capital Partners LLC</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Connective Capital MGMT LLC</w:t>
            </w:r>
            <w:r>
              <w:rPr>
                <w:rFonts w:ascii="Times New Roman;serif" w:hAnsi="Times New Roman;serif"/>
                <w:b w:val="false"/>
                <w:color w:val="000000"/>
                <w:sz w:val="13"/>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CW Capital Investments</w:t>
            </w:r>
            <w:r>
              <w:rPr>
                <w:rFonts w:ascii="Times New Roman;serif" w:hAnsi="Times New Roman;serif"/>
                <w:b w:val="false"/>
                <w:color w:val="000000"/>
                <w:sz w:val="13"/>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T Pawloski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DL SECURITIES (HK) LIMITED</w:t>
            </w:r>
            <w:r>
              <w:rPr>
                <w:rFonts w:ascii="Times New Roman;serif" w:hAnsi="Times New Roman;serif"/>
                <w:b w:val="false"/>
                <w:color w:val="000000"/>
                <w:sz w:val="13"/>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Dominari Securities LLC</w:t>
            </w:r>
            <w:r>
              <w:rPr>
                <w:rFonts w:ascii="Times New Roman;serif" w:hAnsi="Times New Roman;serif"/>
                <w:b w:val="false"/>
                <w:color w:val="000000"/>
                <w:sz w:val="13"/>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Newman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Erick Eugene Jr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Evergreen Capital Management LLC</w:t>
            </w:r>
            <w:r>
              <w:rPr>
                <w:rFonts w:ascii="Times New Roman;serif" w:hAnsi="Times New Roman;serif"/>
                <w:b w:val="false"/>
                <w:color w:val="000000"/>
                <w:sz w:val="13"/>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Exodus Movement Inc.</w:t>
            </w:r>
            <w:r>
              <w:rPr>
                <w:color w:val="000000"/>
              </w:rPr>
              <w:t xml:space="preserv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Four Seasons Equities LLC</w:t>
            </w:r>
            <w:r>
              <w:rPr>
                <w:rFonts w:ascii="Times New Roman;serif" w:hAnsi="Times New Roman;serif"/>
                <w:b w:val="false"/>
                <w:color w:val="000000"/>
                <w:sz w:val="13"/>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Fox Run Investments LLC</w:t>
            </w:r>
            <w:r>
              <w:rPr>
                <w:rFonts w:ascii="Times New Roman;serif" w:hAnsi="Times New Roman;serif"/>
                <w:b w:val="false"/>
                <w:color w:val="000000"/>
                <w:sz w:val="13"/>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Garrett Graue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S Gavallas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Global 70 MFO Investment Limited</w:t>
            </w:r>
            <w:r>
              <w:rPr>
                <w:rFonts w:ascii="Times New Roman;serif" w:hAnsi="Times New Roman;serif"/>
                <w:b w:val="false"/>
                <w:color w:val="000000"/>
                <w:sz w:val="13"/>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Global Cap Limited Inc.</w:t>
            </w:r>
            <w:r>
              <w:rPr>
                <w:color w:val="000000"/>
              </w:rPr>
              <w:t xml:space="preserve"> </w:t>
            </w:r>
            <w:r>
              <w:rPr>
                <w:rFonts w:ascii="Times New Roman;serif" w:hAnsi="Times New Roman;serif"/>
                <w:b w:val="false"/>
                <w:color w:val="000000"/>
                <w:sz w:val="13"/>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GPTX Financial Products LTD</w:t>
            </w:r>
            <w:r>
              <w:rPr>
                <w:rFonts w:ascii="Times New Roman;serif" w:hAnsi="Times New Roman;serif"/>
                <w:b w:val="false"/>
                <w:color w:val="000000"/>
                <w:sz w:val="13"/>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Wallis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Hampton Growth Resources LLC</w:t>
            </w:r>
            <w:r>
              <w:rPr>
                <w:rFonts w:ascii="Times New Roman;serif" w:hAnsi="Times New Roman;serif"/>
                <w:b w:val="false"/>
                <w:color w:val="000000"/>
                <w:sz w:val="13"/>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Havenwood Capital LLC</w:t>
            </w:r>
            <w:r>
              <w:rPr>
                <w:rFonts w:ascii="Times New Roman;serif" w:hAnsi="Times New Roman;serif"/>
                <w:b w:val="false"/>
                <w:color w:val="000000"/>
                <w:sz w:val="13"/>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Innolink Global Inc.</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Jakota Capital AG</w:t>
            </w:r>
            <w:r>
              <w:rPr>
                <w:rFonts w:ascii="Times New Roman;serif" w:hAnsi="Times New Roman;serif"/>
                <w:b w:val="false"/>
                <w:color w:val="000000"/>
                <w:sz w:val="13"/>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Mccabe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Mccarthy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Jason C Boyle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Joann Anello-Lombardi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Joseph Verga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tbl>
      <w:tblPr>
        <w:tblW w:w="9207" w:type="dxa"/>
        <w:jc w:val="center"/>
        <w:tblInd w:w="0" w:type="dxa"/>
        <w:tblLayout w:type="fixed"/>
        <w:tblCellMar>
          <w:top w:w="28" w:type="dxa"/>
          <w:left w:w="28" w:type="dxa"/>
          <w:bottom w:w="28" w:type="dxa"/>
          <w:right w:w="28" w:type="dxa"/>
        </w:tblCellMar>
      </w:tblPr>
      <w:tblGrid>
        <w:gridCol w:w="1077"/>
        <w:gridCol w:w="952"/>
        <w:gridCol w:w="955"/>
        <w:gridCol w:w="109"/>
        <w:gridCol w:w="109"/>
        <w:gridCol w:w="109"/>
        <w:gridCol w:w="109"/>
        <w:gridCol w:w="109"/>
        <w:gridCol w:w="109"/>
        <w:gridCol w:w="211"/>
        <w:gridCol w:w="173"/>
        <w:gridCol w:w="173"/>
        <w:gridCol w:w="109"/>
        <w:gridCol w:w="109"/>
        <w:gridCol w:w="109"/>
        <w:gridCol w:w="109"/>
        <w:gridCol w:w="109"/>
        <w:gridCol w:w="109"/>
        <w:gridCol w:w="307"/>
        <w:gridCol w:w="307"/>
        <w:gridCol w:w="317"/>
        <w:gridCol w:w="109"/>
        <w:gridCol w:w="109"/>
        <w:gridCol w:w="109"/>
        <w:gridCol w:w="109"/>
        <w:gridCol w:w="109"/>
        <w:gridCol w:w="109"/>
        <w:gridCol w:w="307"/>
        <w:gridCol w:w="307"/>
        <w:gridCol w:w="317"/>
        <w:gridCol w:w="109"/>
        <w:gridCol w:w="109"/>
        <w:gridCol w:w="109"/>
        <w:gridCol w:w="109"/>
        <w:gridCol w:w="109"/>
        <w:gridCol w:w="109"/>
        <w:gridCol w:w="109"/>
        <w:gridCol w:w="109"/>
        <w:gridCol w:w="109"/>
        <w:gridCol w:w="109"/>
        <w:gridCol w:w="109"/>
        <w:gridCol w:w="109"/>
        <w:gridCol w:w="109"/>
        <w:gridCol w:w="109"/>
        <w:gridCol w:w="316"/>
      </w:tblGrid>
      <w:tr>
        <w:trPr/>
        <w:tc>
          <w:tcPr>
            <w:tcW w:w="107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Joshua Kaplan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Justin Boyle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Karyn Schmeidler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KBB Asset Management LLC</w:t>
            </w:r>
            <w:r>
              <w:rPr>
                <w:rFonts w:ascii="Times New Roman;serif" w:hAnsi="Times New Roman;serif"/>
                <w:b w:val="false"/>
                <w:color w:val="000000"/>
                <w:sz w:val="13"/>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Beccia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Lion26 SO LLC</w:t>
            </w:r>
            <w:r>
              <w:rPr>
                <w:rFonts w:ascii="Times New Roman;serif" w:hAnsi="Times New Roman;serif"/>
                <w:b w:val="false"/>
                <w:color w:val="000000"/>
                <w:sz w:val="13"/>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Lisa Artuso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Marvel Assets Holdings LLC</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Mary L Tulloch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Melvin M Kolb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Meryl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H 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Montauk Holdings MGMT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Mythos Orange1 Co LTD</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Orca Capital AG</w:t>
            </w:r>
            <w:r>
              <w:rPr>
                <w:rFonts w:ascii="Times New Roman;serif" w:hAnsi="Times New Roman;serif"/>
                <w:b w:val="false"/>
                <w:color w:val="000000"/>
                <w:sz w:val="13"/>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Orchard Group Inc</w:t>
            </w:r>
            <w:r>
              <w:rPr>
                <w:rFonts w:ascii="Times New Roman;serif" w:hAnsi="Times New Roman;serif"/>
                <w:b w:val="false"/>
                <w:color w:val="000000"/>
                <w:sz w:val="13"/>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Payward Inc</w:t>
            </w:r>
            <w:r>
              <w:rPr>
                <w:rFonts w:ascii="Times New Roman;serif" w:hAnsi="Times New Roman;serif"/>
                <w:b w:val="false"/>
                <w:color w:val="000000"/>
                <w:sz w:val="13"/>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Peak Capital Partners Inc</w:t>
            </w:r>
            <w:r>
              <w:rPr>
                <w:rFonts w:ascii="Times New Roman;serif" w:hAnsi="Times New Roman;serif"/>
                <w:b w:val="false"/>
                <w:color w:val="000000"/>
                <w:sz w:val="13"/>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PMGC Capital LLC</w:t>
            </w:r>
            <w:r>
              <w:rPr>
                <w:rFonts w:ascii="Times New Roman;serif" w:hAnsi="Times New Roman;serif"/>
                <w:b w:val="false"/>
                <w:color w:val="000000"/>
                <w:sz w:val="13"/>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Port Holding</w:t>
            </w:r>
            <w:r>
              <w:rPr>
                <w:rFonts w:ascii="Times New Roman;serif" w:hAnsi="Times New Roman;serif"/>
                <w:b w:val="false"/>
                <w:color w:val="000000"/>
                <w:sz w:val="13"/>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Province Capital Assets</w:t>
            </w:r>
            <w:r>
              <w:rPr>
                <w:rFonts w:ascii="Times New Roman;serif" w:hAnsi="Times New Roman;serif"/>
                <w:b w:val="false"/>
                <w:color w:val="000000"/>
                <w:sz w:val="13"/>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Richard Petty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Deatsch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Forster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Bowling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Sabyace Ltd</w:t>
            </w:r>
            <w:r>
              <w:rPr>
                <w:rFonts w:ascii="Times New Roman;serif" w:hAnsi="Times New Roman;serif"/>
                <w:b w:val="false"/>
                <w:color w:val="000000"/>
                <w:sz w:val="13"/>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Shlomo Nasser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Lombardi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Stone Ridge Capital LLC</w:t>
            </w:r>
            <w:r>
              <w:rPr>
                <w:rFonts w:ascii="Times New Roman;serif" w:hAnsi="Times New Roman;serif"/>
                <w:b w:val="false"/>
                <w:color w:val="000000"/>
                <w:sz w:val="13"/>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Tao Chiu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Thaddeus Lagonge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Eleven Fund LLC</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Steven Scopellite 2021 IRR</w:t>
            </w:r>
            <w:r>
              <w:rPr>
                <w:rFonts w:ascii="Times New Roman;serif" w:hAnsi="Times New Roman;serif"/>
                <w:b w:val="false"/>
                <w:color w:val="000000"/>
                <w:sz w:val="13"/>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Kronlage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Shultz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TSSC Outlot LLC</w:t>
            </w:r>
            <w:r>
              <w:rPr>
                <w:rFonts w:ascii="Times New Roman;serif" w:hAnsi="Times New Roman;serif"/>
                <w:b w:val="false"/>
                <w:color w:val="000000"/>
                <w:sz w:val="13"/>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Vernon Capital LLC</w:t>
            </w:r>
            <w:r>
              <w:rPr>
                <w:rFonts w:ascii="Times New Roman;serif" w:hAnsi="Times New Roman;serif"/>
                <w:b w:val="false"/>
                <w:color w:val="000000"/>
                <w:sz w:val="13"/>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Victoria John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Moreno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Worth Equity Holdings</w:t>
            </w:r>
            <w:r>
              <w:rPr>
                <w:rFonts w:ascii="Times New Roman;serif" w:hAnsi="Times New Roman;serif"/>
                <w:b w:val="false"/>
                <w:color w:val="000000"/>
                <w:sz w:val="13"/>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Xuyang 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YA II PN, LTD.</w:t>
            </w:r>
            <w:r>
              <w:rPr>
                <w:rFonts w:ascii="Times New Roman;serif" w:hAnsi="Times New Roman;serif"/>
                <w:b w:val="false"/>
                <w:color w:val="000000"/>
                <w:sz w:val="13"/>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2,359,172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 Less than 1% of the total number of outstanding Class A Ordinary Shares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Represents the total number of Class A Ordinary Shares exercisable under the Exchange Warrants, without giving any effect to the 4.99% Beneficial Ownership Limitation.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The number of Class A Ordinary Shares beneficially owned and the percentage of beneficial ownership after this offering set forth in these columns are based on 15,198,385 Class A Ordinary Shares outstanding as of August 7, 2026, and assumed full exercise of the Exchange Warrants for Class A Ordinary Shares offered hereby.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310,750 Class A Ordinary Shares are held by 19 Growth Capital Fund LP. John Buckley, as director, may be deemed to have sole voting and dispositive power with respect to the shares held by 19 Growth Capital Fund LP. Buckley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30,000 Class A Ordinary Shares are held by 3i, LP. Maier J. Tarlow, as manager, may be deemed to have sole voting and dispositive power with respect to the shares held by 3i, LP. Tarlow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5,000 Class A Ordinary Shares are held by AKITA Partners LLC. Erik Vilato, as managing member, may be deemed to have sole voting and dispositive power with respect to the shares held by AKITA Partners LLC. Vilato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314,055 Class A Ordinary Shares are held by American Ventures LLC Series XXVI PRE. Eric Newman, as Executive Vice President and Global Head of Investment Banking, may be deemed to have sole voting and dispositive power with respect to the shares held by American Ventures LLC Series XXVI PRE. Newman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2,000 Class A Ordinary Shares are held by ARJOCH HOLDING LLC. Steve Hirsch, as manager, may be deemed to have sole voting and dispositive power with respect to the shares held by ARJOCH HOLDING LLC. Hirsch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 62,000 Class A Ordinary Shares are held by AV8 Group LLC. Harshal Nainesh Dave, as manager, may be deemed to have sole voting and dispositive power with respect to the shares held by AV8 Group LLC. Dave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7,500 Class A Ordinary Shares are held by AVFUNDS LLC BNY. Mitchell Casper, as owner and manager, may be deemed to have sole voting and dispositive power with respect to the shares held by AVFUNDS LLC BNY. Casper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 15,000 Class A Ordinary Shares are held by AVFUNDS LLC WEDBUSH. Mitchell Casper, as owner and manager, may be deemed to have sole voting and dispositive power with respect to the shares held by AVFUNDS LLC WEDBUSH. Casper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 5,000 Class A Ordinary Shares are held by Baja Portfolios LLC. Richard Steinberg, as managing member, may be deemed to have sole voting and dispositive power with respect to the shares held by Baja Portfolios LLC. Steinberg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 1,500 Class A Ordinary Shares are held by Bear Lake Capital LLC. Brian Carey, as Chief Executive Officer, may be deemed to have sole voting and dispositive power with respect to the shares held by Bear Lake Capital LLC. Carey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 25,000 Class A Ordinary Shares are held by BJI Financial Group Inc. Brian Walsh, as President, may be deemed to have sole voting and dispositive power with respect to the shares held by BJI Financial Group Inc. Walsh disclaims any beneficial ownership of these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(14) 2,500 Class A Ordinary Shares are held by Brick Lane Capital Management. Simon Currie, as director, may be deemed to have sole voting and dispositive power with respect to the shares held by Brick Lane Capital Management. Currie disclaims any beneficial ownership of these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 5,000 Class A Ordinary Shares are held by Cardinal Capital Holdings MGMT. Timothy Glynn, as managing member, may be deemed to have sole voting and dispositive power with respect to the shares held by Cardinal Capital Holdings MGMT. Glynn disclaims any beneficial ownership of these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 5,000 Class A Ordinary Shares are held by Chaudry Capital LLC. Ali Chaudry, as managing member, may be deemed to have sole voting and dispositive power with respect to the shares held by Chaudry Capital LLC. Chaudry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8,000 Class A Ordinary Shares are held by Colt Capital Partners LLC. Arif Javeed, as managing partner, may be deemed to have sole voting and dispositive power with respect to the shares held by Colt Capital Partners LLC. Javeed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 46,000 Class A Ordinary Shares are held by Connective Capital MGMT LLC. Connective Capital MGMT LLC is the investment manager of Connective Capital I QP LP and Connective Capital Emerging Energy QP LP. Robert Romero, as Chief Executive Officer of Connective Capital I QP LP and Connective Capital Emerging Energy QP LP, may be deemed to have sole voting and dispositive power with respect to the 12,529 shares beneficially owned by Connective Capital I QP LP and 33,471 shares beneficially owned by Connective Capital Emerging Energy QP LP. Romero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 1,500 Class A Ordinary Shares are held by CW Capital Investments. Brian Carey, as manager, may be deemed to have sole voting and dispositive power with respect to the shares held by CW Capital Investments. Carey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 12,250 Class A Ordinary Shares are held by DL SECURITIES (HK) LIMITED. Lang Joseph Shie Jay, as Chief Executive Officer, may be deemed to have sole voting and dispositive power with respect to the shares held by DL SECURITIES (HK) LIMITED. Jay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 5,385 Class A Ordinary Shares are held by Dominari Securities LLC. Kyle Wool, as Chief Executive Officer, may be deemed to have sole voting and dispositive power with respect to the shares held by Dominari Securities LLC. Wool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 6,000 Class A Ordinary Shares are held by Evergreen Capital Management LLC. Jeffery Pazdro, as manager, may be deemed to have sole voting and dispositive power with respect to the shares held by Evergreen Capital Management LLC. Pazdro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 15,500 Class A Ordinary Shares are held by Exodus Movement Inc. James Gernetzke, as Chief Financial Officer, may be deemed to have sole voting and dispositive power with respect to the shares held by Exodus Movement Inc. Gernetzke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 1,000 Class A Ordinary Shares are held by Four Seasons Equities LLC. Jeffery London, as member, may be deemed to have sole voting and dispositive power with respect to the shares held by Four Seasons Equities LLC. London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 1,000 Class A Ordinary Shares are held by Fox Run Investments LLC. Brian Tack, as director, may be deemed to have sole voting and dispositive power with respect to the shares held by Fox Run Investments LLC. Tack disclaims any beneficial ownership of these securities.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(26) 46,500 Class A Ordinary Shares are held by Global 70 MFO Investment Limited. Sun Lu, as director, may be deemed to have sole voting and dispositive power with respect to the shares held by Global 70 MFO Investment Limited. Lu disclaims any beneficial ownership of these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 15,000 Class A Ordinary Shares are held by Global Cap Limited Inc. Brandon Perry, as President, may be deemed to have sole voting and dispositive power with respect to the shares held by Global Cap Limited Inc. Perry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 46,500 Class A Ordinary Shares are held by GPTX Financial Products LTD. Ivan Wong, as director, may be deemed to have sole voting and dispositive power with respect to the shares held by GPTX Financial Products LTD. Wong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 3,000 Class A Ordinary Shares are held by Hampton Growth Resources LLC. Andrew Haag, as managing member, may be deemed to have sole voting and dispositive power with respect to the shares held by Hampton Growth Resources LLC. Haag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 1,000 Class A Ordinary Shares are held by Havenwood Capital LLC. Howard Levitt, as owner, may be deemed to have sole voting and dispositive power with respect to the shares held by Havenwood Capital LLC. Levitt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 4,465 Class A Ordinary Shares are held by Jakota Capital AG. Jolanta Kluzowska, as director, may be deemed to have sole voting and dispositive power with respect to the shares held by Jakota Capital AG. Kluzowska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 28,000 Class A Ordinary Shares are held by KBB Asset Management LLC. Steven Segal, as managing member, may be deemed to have sole voting and dispositive power with respect to the shares held by KBB Asset Management LLC. Segal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 62,000 Class A Ordinary Shares are held by Lion26 SO LLC. Edoardo Levy, as managing member, may be deemed to have sole voting and dispositive power with respect to the shares held by Lion26 SO LLC. Levy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 2,000 Class A Ordinary Shares are held by Marvel Assets Holdings LLC. Josh Sapir, as manager and Chief Information Officer, may be deemed to have sole voting and dispositive power with respect to the shares held by Marvel Assets Holdings LLC. Sapir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 20,000 Class A Ordinary Shares are held by Mythos Orange1 Co LTD. Lawrence Chu Sheng Yu, as director, may be deemed to have sole voting and dispositive power with respect to the shares held by Mythos Orange1 Co LTD. Yu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 15,547 Class A Ordinary Shares are held by Orca Capital AG. Thomas Koenig, as executive board member, may be deemed to have sole voting and dispositive power with respect to the shares held by Orca Capital AG. Koenig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 20,000 Class A Ordinary Shares are held by Orchard Group Inc. Hadley Cooper, as Chief Executive Officer, may be deemed to have sole voting and dispositive power with respect to the shares held by Orchard Group Inc. Cooper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 15,500 Class A Ordinary Shares are held by Payward Inc. Gurpreet Oberoi, as Vice President, may be deemed to have sole voting and dispositive power with respect to the shares held by Payward Inc. Oberoi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 15,000 Class A Ordinary Shares are held by Peak Capital Partners Inc. Ricki R. Rest, as President, may be deemed to have sole voting and dispositive power with respect to the shares held by Peak Capital Partners Inc. Rest disclaims any beneficial ownership of these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 6,218 Class A Ordinary Shares are held by PMGC Capital LLC. Braeden Lichti, as chairman, may be deemed to have sole voting and dispositive power with respect to the shares held by PMGC Capital LLC. Lichti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 2,500 Class A Ordinary Shares are held by Port Holding. Carmine Demarzo, as owner, may be deemed to have sole voting and dispositive power with respect to the shares held by Port Holding. Demarzo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 10,000 Class A Ordinary Shares are held by Province Capital Assets. Shay Kostiner, as manager, may be deemed to have sole voting and dispositive power with respect to the shares held by Province Capital Assets. Kostiner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 34,000 Class A Ordinary Shares are held by Sabyace Ltd. Aryna Sabalenka, as director, may be deemed to have sole voting and dispositive power with respect to the shares held by Sabyace Ltd. Sabalenka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 2,500 Class A Ordinary Shares are held by Stoneridge Capital LLC. Matthew Deis, as owner, may be deemed to have sole voting and dispositive power with respect to the shares held by Stone Ridge Capital LLC. Deis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 124,000 Class A Ordinary Shares are held by The Eleven Fund LLC. Hartley Wasko, as Chief Executive Officer, may be deemed to have sole voting and dispositive power with respect to the shares held by The Eleven Fund LLC. Wasko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 15,500 Class A Ordinary Shares are held by The Steven Scopellite 2021 IRR. Michael Canarick, as trustee, may be deemed to have sole voting and dispositive power with respect to the shares held by The Steven Scopellite 2021 IRR. Canarick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 1,865 Class A Ordinary Shares are held by TSSC Outlot LLC. Doug Gannett, as manager, may be deemed to have sole voting and dispositive power with respect to the shares held by TSSC Outlot LLC. Gannett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 2,000 Class A Ordinary Shares are held by Vernon Capital LLC. Allison Olim, as owner, may be deemed to have sole voting and dispositive power with respect to the shares held by Vernon Capital LLC. Olim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 20,000 Class A Ordinary Shares are held by Worth Equity Holdings. Shay Kostiner, as portfolio manager, may be deemed to have sole voting and dispositive power with respect to the shares held by Worth Equity Holdings. Kostiner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310,000 Class A Ordinary Shares are held by YA II PN, Ltd.. Mark Angelo makes investment decisions for YA II PN, Ltd.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2" w:name="i144f9a0f4c1c479b8796d747454fb1a5"/>
      <w:bookmarkEnd w:id="12"/>
      <w:r>
        <w:rPr>
          <w:rFonts w:ascii="Times New Roman;serif" w:hAnsi="Times New Roman;serif"/>
          <w:b/>
          <w:color w:val="000000"/>
          <w:sz w:val="20"/>
        </w:rPr>
        <w:t>DESCRIPTION OF ORDINARY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description of our ordinary shares, see the description contained in our registration statement on Form 8-A (File No. 001-41401), filed with the SEC on May 17, 2022, as updated by any amendment or report filed for the purpose of updating such description, which is incorporated by reference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of our ordinary shares is incorporated by reference to Exhibit 2.11 of our Annual Report on Form 20-F for the fiscal year ended December 31, 2025, filed with the SEC on April 30, 2026. As of December 31, 2025, there were 16,874,089 ordinary shares issued and outstanding, being the sum of 15,293,117 Class A Ordinary Shares and 1,580,972 Class B Ordinary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3" w:name="i3260a0e9a0e64c31ab211053cba07619"/>
      <w:bookmarkEnd w:id="13"/>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registering the Warrant Shares to permit the resale of the Warrant Shares by the Selling Shareholders from time to time after the date of this prospectus. We will not receive any of the proceeds from the sale by any of the Selling Shareholders of the Warrant Shares. We will bear all fees and expenses incident to our obligation to register the Warrant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and any of their respective pledgees, assignees and successors-in-interest may, from time to time, sell any or all of the Warrant Shares covered hereby on any trading market, stock exchange or other trading facility on which the Class A Ordinary Shares are traded or in private transactions. These sales may be at fixed or negotiated prices. The Selling Shareholders may use any one or more of the following methods when selling the Warrant Shares covered hereby, as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block trades in which the broker-dealer will attempt to sell such Class A Ordinary Shares as agent but may position and resell a portion of the block as principal to facilitate the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settlement of short sales;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transactions through broker-dealers that agree with the Selling Shareholders to sell a specified number of such Class A Ordinary Shares at a stipulated price per security;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combination of any such methods of sale;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Shareholder may also sell the Class A Ordinary Shares covered hereby under Rule 144 under the Securities Act, if available, rather than under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or a principal transaction not in excess of a customary brokerage commission in compliance with FINRA Rule 2121; and in the case of a principal transaction a markup or markdown in compliance with FINRA Rule 2121.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Warrant Shares covered hereby, the Selling Shareholders may enter into hedging transactions with broker-dealers or other financial institutions, which may in turn engage in short sales of the securities in the course of hedging the positions they assume. The Selling Shareholders may also sell Class A Ordinary Shares short and deliver these securities to close out their short positions, or loan or pledge such Class A Ordinary Shares to broker-dealers that in turn may sell such Class A Ordinary Shares.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Shareholders and any broker-dealers or agents that are involved in selling any of the Warrant Shares covered hereby may be deemed to be “underwriters” within the meaning of the Securities Act in connection with such sales. In such event, any commissions received by such broker-dealers or agents and any profit on the resale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securities purchased by them may be deemed to be underwriting commissions or discounts under the Securities Act. We are requesting that each Selling Shareholder inform us that it does not have any written or oral agreement or understanding, directly or indirectly, with any person to distribute the Warrant Shares covered hereby. We will pay certain fees and expenses incurred by us incident to the registration of such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the Selling Shareholders may each be deemed to be an “underwriter” within the meaning of the Securities Act, they will be subject to the prospectus delivery requirements of the Securities Act, including Rule 172 thereunder. In addition, any Class A Ordinary Shares covered by this prospectus which qualify for sale pursuant to Rule 144 under the Securities Act may be sold under Rule 144 rather than under this prospectus. We are requesting that each Selling Shareholder confirm that there is no underwriter or coordinating broker acting in connection with the proposed sale of the Warrant Shares covered hereby by such Selling Shareholder.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keep this prospectus effective until the earlier of (i) the date on which the Warrant Shares covered hereby may be resold by the Selling Shareholders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all of the shares of the Warrant Shares covered hereby have been sold pursuant to this prospectus or Rule 144 under the Securities Act or any other rule of similar effect. The Warrant Shares covered hereby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applicable rules and regulations under the Exchange Act, any person engaged in the distribution of Warrant Shares covered hereby may not simultaneously engage in market making activities with respect to such shares of Class A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such Warrant Shares by the Selling Shareholders or any other person. We will make copies of this prospectus available to the Selling Shareholders and are informing the Selling Shareholders of the need to deliver a copy of this prospectus to each purchaser at or prior to the time of the sale (including by compliance with Rule 172 under the Securities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4" w:name="i5f2c4c59901947b3af89744306717bad"/>
      <w:bookmarkEnd w:id="14"/>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Mourant Ozannes (Hong Kong) LLP has advised us on certain legal matters as to Cayman Islands law, including the issuance of the Class A Ordinary Shares offered by this prospectus. </w:t>
      </w:r>
      <w:r>
        <w:rPr>
          <w:rFonts w:ascii="Times New Roman;serif" w:hAnsi="Times New Roman;serif"/>
          <w:b w:val="false"/>
          <w:color w:val="000000"/>
          <w:sz w:val="20"/>
        </w:rPr>
        <w:t>Any underwriters or agents will be advised about other issues relating to the offering by counsel to be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5" w:name="if45fb6fe2a0b4531b1b082a525bc3c59"/>
      <w:bookmarkEnd w:id="15"/>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Prenetics Global Limited for the year ended December 31, 2023 have been incorporated by reference herein and in the registration statement in reliance upon the report of KPMG, independent registered public accounting firm, incorporated by reference herein, and upon the authority of said firm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Prenetics Global Limited as of December 31, 2025 and 2024, and for each of the two years in the period ended December 31, 2025, incorporated by reference in this prospectus by reference to Prenetics Global Limited's annual report on Form 20-F for the year ended December 31, 2025, have been audited by Deloitte Touche Tohmatsu,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Insighta Holdings Limited as of December 31, 2024 and 2023, and for the year ended December 31, 2024 and the period July 20, 2023 to December 31, 2023, incorporated by reference in this prospectus by reference to Prenetics Global Limited's Amendment No. 1 on Form 20-F/A for the year ended December 31, 2024, have been audited by Deloitte Touche Tohmatsu, an independent auditor,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Insighta Holdings Limited as of December 31, 2025, and for the year ended December 31, 2025, incorporated by reference in this prospectus by reference to Prenetics Global Limited's Amendment No. 1 on Form 20-F/A for the year ended December 31, 2025, have been audited by Deloitte Touche Tohmatsu, an independent auditor, as stated in their report. Such consolidated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6" w:name="i49ccaebbd00e47ca8da69077539a4927"/>
      <w:bookmarkEnd w:id="16"/>
      <w:r>
        <w:rPr>
          <w:rFonts w:ascii="Times New Roman;serif" w:hAnsi="Times New Roman;serif"/>
          <w:b/>
          <w:color w:val="000000"/>
          <w:sz w:val="20"/>
        </w:rPr>
        <w:t>INCORPORATION OF CERTAIN INFORMATION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which is a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We are subject to the informational requirements of the Securities Exchange Act of 1934, as amended, which we refer to as the “Exchange Act” in this prospectus.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certain of the reporting and short-swing profit recovery provisions contained in Section 16 of the Exchange Act. </w:t>
      </w:r>
      <w:r>
        <w:rPr>
          <w:rFonts w:ascii="Times New Roman;serif" w:hAnsi="Times New Roman;serif"/>
          <w:b w:val="false"/>
          <w:color w:val="000000"/>
          <w:sz w:val="20"/>
        </w:rPr>
        <w:t xml:space="preserve">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w:t>
      </w:r>
      <w:r>
        <w:rPr>
          <w:rFonts w:ascii="Times New Roman;serif" w:hAnsi="Times New Roman;serif"/>
          <w:b w:val="false"/>
          <w:color w:val="000000"/>
          <w:sz w:val="20"/>
          <w:shd w:fill="FFFFFF" w:val="clear"/>
        </w:rPr>
        <w:t>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make available on our website, free of charge, our annual report on Form 20-F and the text of our reports on Form 6-K, including any amendments to these reports, as well as certain other SEC filings, as soon as reasonably practicable after they are electronically filed with or furnished to the SEC. Our website address is www.prenetics.com. The reference to our website is an inactive textual reference only, and information contained therein or connected thereto is not incorporated into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SEC allows us to “incorporate by reference” into this prospectus the information in documents we file with it. This means that we can disclose important information to you </w:t>
      </w:r>
      <w:r>
        <w:rPr>
          <w:rFonts w:ascii="Times New Roman;serif" w:hAnsi="Times New Roman;serif"/>
          <w:b w:val="false"/>
          <w:color w:val="000000"/>
          <w:sz w:val="20"/>
          <w:shd w:fill="FFFFFF" w:val="clear"/>
        </w:rPr>
        <w:t>by</w:t>
      </w:r>
      <w:r>
        <w:rPr>
          <w:color w:val="000000"/>
        </w:rPr>
        <w:t xml:space="preserve"> </w:t>
      </w:r>
      <w:r>
        <w:rPr>
          <w:rFonts w:ascii="Times New Roman;serif" w:hAnsi="Times New Roman;serif"/>
          <w:b w:val="false"/>
          <w:color w:val="000000"/>
          <w:sz w:val="20"/>
        </w:rPr>
        <w:t>referring you to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 incorporate by reference into this prospectus the documents listed below and any future annual reports on Form 20-F filed with the SEC after the date of this prospectus and prior to the termination of the offering, and any future reports on Form 6-K that we furnish to the SEC after the date of this prospectus that are identified in such reports as being incorporated by reference into this prospectus (including any exhibits thereto), in each case on or after the date on which this registration statement is first filed with the SEC and until the termination or completion of the offering under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annual report on Form 20-F for the fiscal year ended December 31, 2024 filed with the SEC on April 30, 2025, and Amendment No. 1 to the Form 20-F filed with the SEC on July 18,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annual report on Form 20-F for the fiscal year ended December 31, 2025 filed with the SEC on April 30, 2026, Amendment No. 1 to the Form 20-F filed with the SEC on July 2, 2026, and Amendment No. 2 to the Form 20-F filed with the SEC on July 30,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current reports on Form 6-K, including all exhibits thereto, filed with or furnished with the SEC on March 5, 2025, May 29, 2025, June 16, 2025, July 17, 2025, July 18, 2025, August 1, 2025, August 22, 2025, September 12, 2025, October 28, 2025, November 10, 2025, November 24, 2025, December 11, 2025, December 23, 2025, December 30, 2025, January 5, 2026, January 6, 2026, February 17, 2026, February 18, 2026, March 3, 2026, March 6, 2026, April 2, 2026, May 4, 2026, May 7, 2026, May 14, 2026, May 20, 2026, June 4, 2026, June 10, 2026, July 14, 2026, and August 7, 2026, and Form 6-K/A on June 12, 2025, August 7, 2025, August 22, 2025, and October 21, 2025;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description of our Class A Ordinary Shares and warrants to purchase Class A Ordinary Shares contained in our registration statement on Form 8-A filed with the SEC on </w:t>
      </w:r>
      <w:hyperlink r:id="rId3">
        <w:r>
          <w:rPr>
            <w:rStyle w:val="InternetLink"/>
          </w:rPr>
          <w:t>May 17, 2022</w:t>
        </w:r>
      </w:hyperlink>
      <w:r>
        <w:rPr>
          <w:rFonts w:ascii="Times New Roman;serif" w:hAnsi="Times New Roman;serif"/>
          <w:b w:val="false"/>
          <w:color w:val="000000"/>
          <w:sz w:val="20"/>
        </w:rPr>
        <w:t>, and any amendment or report filed for the purpose of updating such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confirms that it satisfies the conditions of General Instruction VI to Form F-1, including that it has been subject to the requirements of Section 13(a) or 15(d) of the Exchange Act and has filed at least one annual report pursuant to Section 13(a) or 15(d)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expressly incorporated by reference, nothing in this prospectus shall be deemed to incorporate by reference information furnished to, but not filed with, the SEC. With respect to each Form 6-K that is specifically identified above, all information and documents contained in such Form 6-K, including any exhibits thereto, shall be deemed to be incorporated by reference into this prospectus to the extent expressly provided therein. Copies of all documents incorporated by reference in this prospectus, other than exhibits to those documents, except as otherwise expressly provided with respect to Forms 6-K above, will be provided at no cost to each person, including any beneficial owner, who receives a copy of this prospectus on the written or oral request of that person made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Prenetics Global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 703-706, K11 Atelier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728 King’s Road, Hong Kong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 +852 2210 9588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7" w:name="i66ff37cad36e4bf68a36465db4eae501"/>
      <w:bookmarkEnd w:id="17"/>
      <w:r>
        <w:rPr>
          <w:rFonts w:ascii="Times New Roman;serif" w:hAnsi="Times New Roman;serif"/>
          <w:b/>
          <w:color w:val="000000"/>
          <w:sz w:val="20"/>
        </w:rPr>
        <w:t>ENFORCEABILITY OF CIVIL LIABILITIES AND AGENT FOR SERVICE OF PROCESS IN THE UNITED STATES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exempted company limited by shares organized under the laws of Cayman Islands. As a result, the rights of holders of our Class A Ordinary Shares will be governed by Cayman Islands law and our amended and restated memorandum and articles of association. The rights of shareholders under Cayman Islands law may differ from the rights of shareholders of companies incorporated in other jurisdictions. A substantial amount of our assets are located outside the United States. As a result, it may be difficult for investors to enforce in the United States judgments obtained in U.S. courts against us based on the civil liability provisions of the U.S. securities laws.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executive office is Unit 703-706, K11 Atelier King’s Road, 728 King’s Road, Quarry Bay, Hong Kong.</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Cayman Islands exempted company with substantially all operations, assets, and management located outside the United States, you may face significant challenges in enforcing legal rights against us or our directors and officers. Most of our directors and executive officers reside in Hong Kong or other non-U.S. jurisdictions, making it difficult to effect service of process or bring actions in U.S. courts based on U.S. securities laws. In particular, each of Danny Sheng Wu Yeung, our director and chief executive officer, Cheng Yin Pan, our director, and Lo Hoi Chun, our chief financial officer, reside in Hong Kong, a Special Administrative Region of China. None of our directors and executive officers reside or are based in mainland China, and our two non-operating subsidiaries in mainland China are dormant, conduct no active business operations, hold no material assets and generate no revenue. Judgments obtained in U.S. courts may not be enforceable in the jurisdictions where we or our management are located.</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corporate governance is subject to Cayman Islands law, including the Companies Act and common law precedents, which differ materially from U.S. corporate law. Notably: (1) Cayman Islands common law derives from limited local judicial precedent and non-binding English common law; (2) shareholder rights and director fiduciary duties differ from those under U.S. state laws like Delaware; and (3) Cayman Islands securities laws provide different protections than U.S. federal securities laws. Additionally, shareholders may lack standing to bring derivative actions in U.S. federal courts.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Accordingly, it may be more difficult for investors to enforce judgments upon us or our directors and officers in Hong Kong.</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all of the above, you may face difficulties in protecting your interests, and your ability to protect your rights through U.S. courts may be limited. See “Risk Factors — Risks Relating to Our Securities — You may face difficulties in protecting your interests, and your ability to protect your rights through U.S. courts may be limited, because we are incorporated under the laws of the Cayman Islands, we conduct substantially all of our operations, and a majority of our directors and executive officers reside, outside of the United States."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42nd Street, 18th Floor New York, N.Y. 10168.</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INFORMATION NOT REQUIRED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or willful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Under these agreements, we have agreed to indemnify our directors against certain liabilities and expenses incurred by such persons in connection with claims made by reason of their being our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maintain standard policies of insurance under which coverage is provided to our directors and officers against loss arising from claims made by reason of breach of duty or other wrongful act, and to us with respect to payments which may be made by us to such directors and officers pursuant to the above indemnification provision or otherwise as a matter of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Recent Sales of Unregistered Securities.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securities issued by us since January 1, 2023 that were not registered under the Securities Act. The share numbers below give effect to the Company's reverse share split and are stated in Class A Ordinary Shares.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period from January 1, 2023 through the date of this registration statement, we issued the following Class A Ordinary Shares in transactions not involving any public offering: (i) 168,709 shares to Berry Genomics in connection with our acquisition of ACT Genomics; (ii) 1,481,481 shares to the founders of Insighta in connection with our acquisition of Insighta; (iii) 52,620 shares to the founders of Oxsed upon the exercise of exchange loan notes; (iv) 276,707 shares to certain service providers as consideration for capital markets and investor relations services; and (v) 566,031 shares to certain service providers in relation to our IM8 business.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we issued an aggregate of 2,360,416 Class C warrants in privately negotiated transactions in exchange for outstanding Class A warrants and Class B warrants previously held by the participating holders.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The offers, sales, and issuances of the securities described above were made in reliance upon the exemptions from registration provided by Section 4(a)(2) of the Securities Act and/or Regulation S promulgated thereunder, as transactions by an issuer not involving any public offering or as offers and sales to persons outside the United States, and, with respect to the Class C warrants, in reliance upon the exemption provided by Section 3(a)(9) of the Securities Act as securities exchanged by the issuer exclusively with its existing security holders where no commission or other remuneration was paid or given directly or indirectly for soliciting such exchange. No underwriters were involved in the foregoing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1430"/>
        <w:gridCol w:w="1430"/>
        <w:gridCol w:w="1434"/>
        <w:gridCol w:w="109"/>
        <w:gridCol w:w="109"/>
        <w:gridCol w:w="109"/>
        <w:gridCol w:w="195"/>
        <w:gridCol w:w="195"/>
        <w:gridCol w:w="196"/>
        <w:gridCol w:w="111"/>
        <w:gridCol w:w="111"/>
        <w:gridCol w:w="111"/>
        <w:gridCol w:w="280"/>
        <w:gridCol w:w="264"/>
        <w:gridCol w:w="208"/>
        <w:gridCol w:w="111"/>
        <w:gridCol w:w="111"/>
        <w:gridCol w:w="111"/>
        <w:gridCol w:w="280"/>
        <w:gridCol w:w="280"/>
        <w:gridCol w:w="282"/>
        <w:gridCol w:w="111"/>
        <w:gridCol w:w="111"/>
        <w:gridCol w:w="111"/>
        <w:gridCol w:w="380"/>
        <w:gridCol w:w="380"/>
        <w:gridCol w:w="460"/>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tc>
      </w:tr>
      <w:tr>
        <w:trPr/>
        <w:tc>
          <w:tcPr>
            <w:tcW w:w="8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Filing Date</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Form of Warrant Agency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u w:val="single"/>
                </w:rPr>
                <w:t>Form of Exchange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001-41401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23, 2025</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u w:val="single"/>
                </w:rPr>
                <w:t>Opinion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20"/>
                  <w:u w:val="single"/>
                </w:rPr>
                <w:t>Form of Warrant Exchange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Consent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kpmgconsent-fx1a.htm">
              <w:r>
                <w:rPr>
                  <w:rStyle w:val="InternetLink"/>
                  <w:rFonts w:ascii="Times New Roman;serif" w:hAnsi="Times New Roman;serif"/>
                  <w:b w:val="false"/>
                  <w:color w:val="000000"/>
                  <w:sz w:val="20"/>
                  <w:u w:val="single"/>
                </w:rPr>
                <w:t>Consent of KPMG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3deloitteconsent-fx1a.htm">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4deloitteconsentinsigh.htm">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u w:val="single"/>
                </w:rPr>
                <w:t>Consent of DaHui Lawyers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l-consentletter.htm">
              <w:r>
                <w:rPr>
                  <w:rStyle w:val="InternetLink"/>
                  <w:rFonts w:ascii="Times New Roman;serif" w:hAnsi="Times New Roman;serif"/>
                  <w:b w:val="false"/>
                  <w:color w:val="000000"/>
                  <w:sz w:val="20"/>
                  <w:u w:val="single"/>
                </w:rPr>
                <w:t>Consent of Allbright Law (Hong Kong) Offices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the signature page of this registration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00"/>
                  <w:sz w:val="20"/>
                  <w:u w:val="single"/>
                </w:rPr>
                <w:t>Calculation of 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either they are not required, are not applicable, or the information is otherwise set forth in the consolidated financial statements and related notes thereto, included in the Company’s annual report on Form 20-F for the fiscal year ended December 31, 2025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under the Securities Act to any purchaser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(7)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this registration statement on Form F-1 and has duly caused this registration statement to be signed on its behalf by the undersigned, thereunto duly authorized, in Hong Kong, on August 7, 2026.</w: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ableContents"/>
              <w:bidi w:val="0"/>
              <w:spacing w:before="0" w:after="0"/>
              <w:jc w:val="left"/>
              <w:rPr/>
            </w:pPr>
            <w:r>
              <w:rPr/>
            </w:r>
          </w:p>
          <w:p>
            <w:pPr>
              <w:pStyle w:val="TableContents"/>
              <w:bidi w:val="0"/>
              <w:spacing w:before="0" w:after="160"/>
              <w:jc w:val="center"/>
              <w:rPr/>
            </w:pPr>
            <w:r>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475"/>
        <w:gridCol w:w="223"/>
        <w:gridCol w:w="223"/>
        <w:gridCol w:w="223"/>
        <w:gridCol w:w="223"/>
        <w:gridCol w:w="223"/>
        <w:gridCol w:w="223"/>
        <w:gridCol w:w="223"/>
        <w:gridCol w:w="223"/>
        <w:gridCol w:w="223"/>
        <w:gridCol w:w="223"/>
        <w:gridCol w:w="223"/>
        <w:gridCol w:w="223"/>
        <w:gridCol w:w="223"/>
        <w:gridCol w:w="223"/>
        <w:gridCol w:w="361"/>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9863" w:type="dxa"/>
            <w:gridSpan w:val="42"/>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ableContents"/>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of the undersigned constitutes and appoints each of Danny Sheng Wu Yeung and Lo Hoi Chun, each acting alone, as his or her true and lawful attorneys-in-fact and agents, with full power of substitution and resubstitution, for such person and in his or her name, place and stead, in any and all capacities, to sign this Registration Statement on Form F-1, or other appropriate form, and all amendments thereto, including post-effective amendments, of Prenetics Global Limited,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 Pursuant to the requirements of the Securities Act of 1933, this registration statement has been signed by the following persons in the capacities and on the dates indicated.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CAPACITY</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3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c>
          <w:tcPr>
            <w:tcW w:w="2145"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9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c>
          <w:tcPr>
            <w:tcW w:w="2145" w:type="dxa"/>
            <w:gridSpan w:val="9"/>
            <w:vMerge w:val="continue"/>
            <w:tcBorders/>
            <w:tcMar>
              <w:top w:w="0" w:type="dxa"/>
              <w:left w:w="0" w:type="dxa"/>
              <w:bottom w:w="0" w:type="dxa"/>
              <w:right w:w="0" w:type="dxa"/>
            </w:tcMar>
            <w:vAlign w:val="center"/>
          </w:tcPr>
          <w:p>
            <w:pPr>
              <w:pStyle w:val="Normal"/>
              <w:bidi w:val="0"/>
              <w:jc w:val="left"/>
              <w:rPr/>
            </w:pPr>
            <w:r>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Lo Hoi Chun</w:t>
            </w:r>
          </w:p>
        </w:tc>
        <w:tc>
          <w:tcPr>
            <w:tcW w:w="2145"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and Accounting Officer</w:t>
            </w:r>
            <w:r>
              <w:rPr>
                <w:rFonts w:ascii="Times New Roman;serif" w:hAnsi="Times New Roman;serif"/>
                <w:b w:val="false"/>
                <w:color w:val="000000"/>
                <w:sz w:val="20"/>
              </w:rPr>
              <w:t>)</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9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 Hoi Chun</w:t>
            </w:r>
          </w:p>
        </w:tc>
        <w:tc>
          <w:tcPr>
            <w:tcW w:w="2145" w:type="dxa"/>
            <w:gridSpan w:val="9"/>
            <w:vMerge w:val="continue"/>
            <w:tcBorders/>
            <w:tcMar>
              <w:top w:w="0" w:type="dxa"/>
              <w:left w:w="0" w:type="dxa"/>
              <w:bottom w:w="0" w:type="dxa"/>
              <w:right w:w="0" w:type="dxa"/>
            </w:tcMar>
            <w:vAlign w:val="center"/>
          </w:tcPr>
          <w:p>
            <w:pPr>
              <w:pStyle w:val="Normal"/>
              <w:bidi w:val="0"/>
              <w:jc w:val="left"/>
              <w:rPr/>
            </w:pPr>
            <w:r>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Yin Pan Cheng</w:t>
            </w:r>
          </w:p>
        </w:tc>
        <w:tc>
          <w:tcPr>
            <w:tcW w:w="21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9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Yin Pan Cheng</w:t>
            </w:r>
          </w:p>
        </w:tc>
        <w:tc>
          <w:tcPr>
            <w:tcW w:w="2145" w:type="dxa"/>
            <w:gridSpan w:val="9"/>
            <w:vMerge w:val="continue"/>
            <w:tcBorders/>
            <w:tcMar>
              <w:top w:w="0" w:type="dxa"/>
              <w:left w:w="0" w:type="dxa"/>
              <w:bottom w:w="0" w:type="dxa"/>
              <w:right w:w="0" w:type="dxa"/>
            </w:tcMar>
            <w:vAlign w:val="center"/>
          </w:tcPr>
          <w:p>
            <w:pPr>
              <w:pStyle w:val="Normal"/>
              <w:bidi w:val="0"/>
              <w:jc w:val="left"/>
              <w:rPr/>
            </w:pPr>
            <w:r>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Darshan Ravindra Shah</w:t>
            </w:r>
          </w:p>
        </w:tc>
        <w:tc>
          <w:tcPr>
            <w:tcW w:w="21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9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Darshan Ravindra Shah</w:t>
            </w:r>
          </w:p>
        </w:tc>
        <w:tc>
          <w:tcPr>
            <w:tcW w:w="2145" w:type="dxa"/>
            <w:gridSpan w:val="9"/>
            <w:vMerge w:val="continue"/>
            <w:tcBorders/>
            <w:tcMar>
              <w:top w:w="0" w:type="dxa"/>
              <w:left w:w="0" w:type="dxa"/>
              <w:bottom w:w="0" w:type="dxa"/>
              <w:right w:w="0" w:type="dxa"/>
            </w:tcMar>
            <w:vAlign w:val="center"/>
          </w:tcPr>
          <w:p>
            <w:pPr>
              <w:pStyle w:val="Normal"/>
              <w:bidi w:val="0"/>
              <w:jc w:val="left"/>
              <w:rPr/>
            </w:pPr>
            <w:r>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Hudson Blake Leogrande</w:t>
            </w:r>
          </w:p>
        </w:tc>
        <w:tc>
          <w:tcPr>
            <w:tcW w:w="21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9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Blake Leogrande</w:t>
            </w:r>
          </w:p>
        </w:tc>
        <w:tc>
          <w:tcPr>
            <w:tcW w:w="2145" w:type="dxa"/>
            <w:gridSpan w:val="9"/>
            <w:vMerge w:val="continue"/>
            <w:tcBorders/>
            <w:tcMar>
              <w:top w:w="0" w:type="dxa"/>
              <w:left w:w="0" w:type="dxa"/>
              <w:bottom w:w="0" w:type="dxa"/>
              <w:right w:w="0" w:type="dxa"/>
            </w:tcMar>
            <w:vAlign w:val="center"/>
          </w:tcPr>
          <w:p>
            <w:pPr>
              <w:pStyle w:val="Normal"/>
              <w:bidi w:val="0"/>
              <w:jc w:val="left"/>
              <w:rPr/>
            </w:pPr>
            <w:r>
              <w:rPr/>
            </w:r>
          </w:p>
        </w:tc>
        <w:tc>
          <w:tcPr>
            <w:tcW w:w="20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AUTHORIZED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of the Securities Act of 1933, the undersigned, solely in his capacity as the duly authorized representative of Prenetics Global Limited, has signed this registration statement in the City of New York, New York, on August 7, 2026.</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Authorized U.S.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Cogency Global Inc. </w:t>
      </w:r>
    </w:p>
    <w:tbl>
      <w:tblPr>
        <w:tblW w:w="33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3"/>
        <w:gridCol w:w="253"/>
        <w:gridCol w:w="253"/>
        <w:gridCol w:w="253"/>
        <w:gridCol w:w="253"/>
        <w:gridCol w:w="253"/>
        <w:gridCol w:w="253"/>
        <w:gridCol w:w="253"/>
        <w:gridCol w:w="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914400" cy="371475"/>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11"/>
                    <a:stretch>
                      <a:fillRect/>
                    </a:stretch>
                  </pic:blipFill>
                  <pic:spPr bwMode="auto">
                    <a:xfrm>
                      <a:off x="0" y="0"/>
                      <a:ext cx="914400" cy="3714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April 30, 2024, except for the effects of discontinued operations of ACT Genomics discussed in note 10, as to which the date is April 30, 2026, with respect to the consolidated financial statements of Prenetics Global Limited,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KPMG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China</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23.3</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No. 333-294765 on Pre-effective Amendment No.1 to Form F-3 on Form F-1 of our report dated April 30, 2026, relating to the financial statements of Prenetics Global Limited, appearing in the Annual Report on Form 20-F and the Form 20-F/A of Prenetics Global Limited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Touche Tohmatsu</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People's Republic of China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23.4</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Auditor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No. 333-294765 on Pre-effective Amendment No.1 to Form F-3 on Form F-1 of our report dated July 18, 2025, relating to the financial statements of Insighta Holdings Limited for the year ended December 31, 2024 and the period July 20, 2023 to December 31, 2023, and our report dated July 2, 2026, relating to the financial statements of Insighta Holdings Limited for the year ended December 31, 2025, appearing in the Form 20-F/A of Prenetics Global Limited for the years ended December 31, 2025 and 2024. We also consent to the reference to us under the heading “Experts” in such Registration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Touche Tohmatsu</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People's Republic of China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center"/>
        <w:rPr/>
      </w:pPr>
      <w:bookmarkStart w:id="18" w:name="abl-consentletter.htm"/>
      <w:bookmarkStart w:id="19" w:name="ksablconsentletter"/>
      <w:bookmarkEnd w:id="18"/>
      <w:bookmarkEnd w:id="19"/>
      <w:r>
        <w:rPr/>
        <w:drawing>
          <wp:inline distT="0" distB="0" distL="0" distR="0">
            <wp:extent cx="9191625" cy="1300162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876431/000110465922061819/tm2127588d70_8a12b.htm" TargetMode="External"/><Relationship Id="rId4" Type="http://schemas.openxmlformats.org/officeDocument/2006/relationships/hyperlink" Target="https://www.sec.gov/Archives/edgar/data/1876431/000162828026022241/formofwarrantagentagreement.htm" TargetMode="External"/><Relationship Id="rId5" Type="http://schemas.openxmlformats.org/officeDocument/2006/relationships/hyperlink" Target="https://www.sec.gov/Archives/edgar/data/1876431/000162828025058673/ex42-preneticsxformofexcha.htm" TargetMode="External"/><Relationship Id="rId6" Type="http://schemas.openxmlformats.org/officeDocument/2006/relationships/hyperlink" Target="https://www.sec.gov/Archives/edgar/data/1876431/000162828026022241/a20260331-preneticscayma.htm" TargetMode="External"/><Relationship Id="rId7" Type="http://schemas.openxmlformats.org/officeDocument/2006/relationships/hyperlink" Target="https://www.sec.gov/Archives/edgar/data/1876431/000162828026022241/formofwarrantexchangeagree.htm" TargetMode="External"/><Relationship Id="rId8" Type="http://schemas.openxmlformats.org/officeDocument/2006/relationships/hyperlink" Target="https://www.sec.gov/Archives/edgar/data/1876431/000162828026022241/a20260331_preneticsopini.htm" TargetMode="External"/><Relationship Id="rId9" Type="http://schemas.openxmlformats.org/officeDocument/2006/relationships/hyperlink" Target="https://www.sec.gov/Archives/edgar/data/1876431/000162828026022241/a_consentletterxdhdraftx.htm" TargetMode="External"/><Relationship Id="rId10" Type="http://schemas.openxmlformats.org/officeDocument/2006/relationships/hyperlink" Target="https://www.sec.gov/Archives/edgar/data/1876431/000162828026022241/exfilingfees.htm" TargetMode="External"/><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32021</Words>
  <Characters>172277</Characters>
  <CharactersWithSpaces>203071</CharactersWithSpaces>
  <Paragraphs>2020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abl-consentletter</dc:title>
</cp:coreProperties>
</file>