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20-F/A</w:t>
      </w: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480" w:right="260" w:hanging="454"/>
        <w:spacing w:after="0" w:line="275" w:lineRule="auto"/>
        <w:tabs>
          <w:tab w:leader="none" w:pos="4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REGISTRATION STATEMENT PURSUANT TO SECTION 12(b) OR (g) OF THE SECURITIES EXCHANGE ACT OF 1934</w:t>
      </w:r>
    </w:p>
    <w:p>
      <w:pPr>
        <w:spacing w:after="0" w:line="2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3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80" w:right="160" w:hanging="454"/>
        <w:spacing w:after="0" w:line="262" w:lineRule="auto"/>
        <w:tabs>
          <w:tab w:leader="none" w:pos="480" w:val="left"/>
        </w:tabs>
        <w:numPr>
          <w:ilvl w:val="0"/>
          <w:numId w:val="3"/>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80" w:hanging="454"/>
        <w:spacing w:after="0" w:line="262" w:lineRule="auto"/>
        <w:tabs>
          <w:tab w:leader="none" w:pos="480" w:val="left"/>
        </w:tabs>
        <w:numPr>
          <w:ilvl w:val="0"/>
          <w:numId w:val="4"/>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2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225" w:lineRule="exact"/>
        <w:rPr>
          <w:sz w:val="24"/>
          <w:szCs w:val="24"/>
          <w:color w:val="auto"/>
        </w:rPr>
      </w:pPr>
    </w:p>
    <w:p>
      <w:pPr>
        <w:ind w:left="4180"/>
        <w:spacing w:after="0"/>
        <w:tabs>
          <w:tab w:leader="none" w:pos="6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3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Prenetics Global Limited</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200" w:lineRule="exact"/>
        <w:rPr>
          <w:sz w:val="24"/>
          <w:szCs w:val="24"/>
          <w:color w:val="auto"/>
        </w:rPr>
      </w:pPr>
    </w:p>
    <w:p>
      <w:pPr>
        <w:spacing w:after="0" w:line="28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728 King’s Road, Quarry Bay</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Stephen HC Lo, Chief Financial Officer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728 King’s Road, Quarry Bay</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Phone: +852 2210-9588</w:t>
      </w:r>
    </w:p>
    <w:p>
      <w:pPr>
        <w:sectPr>
          <w:pgSz w:w="11900" w:h="16838" w:orient="portrait"/>
          <w:cols w:equalWidth="0" w:num="1">
            <w:col w:w="11160"/>
          </w:cols>
          <w:pgMar w:left="320" w:top="225" w:right="419" w:bottom="0" w:gutter="0" w:footer="0" w:header="0"/>
        </w:sectPr>
      </w:pP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Telephone, and Address of Company Contact Person)</w:t>
      </w:r>
    </w:p>
    <w:p>
      <w:pPr>
        <w:sectPr>
          <w:pgSz w:w="11900" w:h="16838" w:orient="portrait"/>
          <w:cols w:equalWidth="0" w:num="1">
            <w:col w:w="11160"/>
          </w:cols>
          <w:pgMar w:left="320" w:top="225" w:right="419" w:bottom="0" w:gutter="0" w:footer="0" w:header="0"/>
          <w:type w:val="continuous"/>
        </w:sectPr>
      </w:pPr>
    </w:p>
    <w:bookmarkStart w:id="1" w:name="page2"/>
    <w:bookmarkEnd w:id="1"/>
    <w:p>
      <w:pPr>
        <w:ind w:left="4120"/>
        <w:spacing w:after="0"/>
        <w:rPr>
          <w:sz w:val="20"/>
          <w:szCs w:val="20"/>
          <w:color w:val="auto"/>
        </w:rPr>
      </w:pPr>
      <w:r>
        <w:rPr>
          <w:rFonts w:ascii="Arial" w:cs="Arial" w:eastAsia="Arial" w:hAnsi="Arial"/>
          <w:sz w:val="22"/>
          <w:szCs w:val="22"/>
          <w:color w:val="auto"/>
        </w:rPr>
        <w:t>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14"/>
        </w:trPr>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$0.0015 per share</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PRE</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PRENW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0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22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2025, there were 16,874,089 ordinary shares issued and outstanding, par value $0.0015 per share, being the sum of </w:t>
      </w:r>
      <w:r>
        <w:rPr>
          <w:rFonts w:ascii="Times New Roman" w:cs="Times New Roman" w:eastAsia="Times New Roman" w:hAnsi="Times New Roman"/>
          <w:sz w:val="17"/>
          <w:szCs w:val="17"/>
          <w:color w:val="auto"/>
        </w:rPr>
        <w:t>15,293,117</w:t>
      </w:r>
      <w:r>
        <w:rPr>
          <w:rFonts w:ascii="Times New Roman" w:cs="Times New Roman" w:eastAsia="Times New Roman" w:hAnsi="Times New Roman"/>
          <w:sz w:val="18"/>
          <w:szCs w:val="18"/>
          <w:color w:val="auto"/>
        </w:rPr>
        <w:t xml:space="preserve"> Class A Ordinary Shares, </w:t>
      </w:r>
      <w:r>
        <w:rPr>
          <w:rFonts w:ascii="Times New Roman" w:cs="Times New Roman" w:eastAsia="Times New Roman" w:hAnsi="Times New Roman"/>
          <w:sz w:val="17"/>
          <w:szCs w:val="17"/>
          <w:color w:val="auto"/>
        </w:rPr>
        <w:t>1,580,972</w:t>
      </w:r>
      <w:r>
        <w:rPr>
          <w:rFonts w:ascii="Times New Roman" w:cs="Times New Roman" w:eastAsia="Times New Roman" w:hAnsi="Times New Roman"/>
          <w:sz w:val="18"/>
          <w:szCs w:val="18"/>
          <w:color w:val="auto"/>
        </w:rPr>
        <w:t xml:space="preserve"> Class B Ordinary Shares, and 17,352,363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25" w:lineRule="exact"/>
        <w:rPr>
          <w:sz w:val="20"/>
          <w:szCs w:val="20"/>
          <w:color w:val="auto"/>
        </w:rPr>
      </w:pPr>
    </w:p>
    <w:p>
      <w:pPr>
        <w:ind w:left="992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62" w:lineRule="exact"/>
        <w:rPr>
          <w:sz w:val="20"/>
          <w:szCs w:val="20"/>
          <w:color w:val="auto"/>
        </w:rPr>
      </w:pPr>
    </w:p>
    <w:p>
      <w:pPr>
        <w:ind w:left="992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0"/>
          <w:szCs w:val="20"/>
          <w:color w:val="auto"/>
        </w:rPr>
      </w:pPr>
    </w:p>
    <w:p>
      <w:pPr>
        <w:ind w:left="9920"/>
        <w:spacing w:after="0"/>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2" w:lineRule="exact"/>
        <w:rPr>
          <w:sz w:val="20"/>
          <w:szCs w:val="20"/>
          <w:color w:val="auto"/>
        </w:rPr>
      </w:pPr>
    </w:p>
    <w:p>
      <w:pPr>
        <w:ind w:left="9920"/>
        <w:spacing w:after="0"/>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216" w:lineRule="exact"/>
        <w:rPr>
          <w:sz w:val="20"/>
          <w:szCs w:val="20"/>
          <w:color w:val="auto"/>
        </w:rPr>
      </w:pPr>
    </w:p>
    <w:p>
      <w:pPr>
        <w:ind w:left="20"/>
        <w:spacing w:after="0"/>
        <w:tabs>
          <w:tab w:leader="none" w:pos="2920" w:val="left"/>
          <w:tab w:leader="none" w:pos="5340" w:val="left"/>
          <w:tab w:leader="none" w:pos="7900" w:val="left"/>
          <w:tab w:leader="none" w:pos="107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6"/>
          <w:szCs w:val="16"/>
          <w:b w:val="1"/>
          <w:bCs w:val="1"/>
          <w:color w:val="auto"/>
        </w:rPr>
        <w:t>x</w:t>
      </w:r>
    </w:p>
    <w:p>
      <w:pPr>
        <w:spacing w:after="0" w:line="3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76" w:lineRule="exact"/>
        <w:rPr>
          <w:sz w:val="20"/>
          <w:szCs w:val="20"/>
          <w:color w:val="auto"/>
        </w:rPr>
      </w:pPr>
    </w:p>
    <w:p>
      <w:pPr>
        <w:ind w:left="420" w:right="180" w:hanging="412"/>
        <w:spacing w:after="0" w:line="282"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76" w:lineRule="exact"/>
        <w:rPr>
          <w:sz w:val="20"/>
          <w:szCs w:val="20"/>
          <w:color w:val="auto"/>
        </w:rPr>
      </w:pPr>
    </w:p>
    <w:p>
      <w:pPr>
        <w:ind w:left="992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7" w:right="339" w:bottom="0" w:gutter="0" w:footer="0" w:header="0"/>
        </w:sectPr>
      </w:pPr>
    </w:p>
    <w:bookmarkStart w:id="2" w:name="page3"/>
    <w:bookmarkEnd w:id="2"/>
    <w:p>
      <w:pPr>
        <w:ind w:left="2940" w:right="1100" w:hanging="2906"/>
        <w:spacing w:after="0" w:line="344" w:lineRule="auto"/>
        <w:tabs>
          <w:tab w:leader="none" w:pos="2920" w:val="left"/>
        </w:tabs>
        <w:rPr>
          <w:sz w:val="20"/>
          <w:szCs w:val="20"/>
          <w:color w:val="auto"/>
        </w:rPr>
      </w:pPr>
      <w:r>
        <w:rPr>
          <w:rFonts w:ascii="Times New Roman" w:cs="Times New Roman" w:eastAsia="Times New Roman" w:hAnsi="Times New Roman"/>
          <w:sz w:val="18"/>
          <w:szCs w:val="18"/>
          <w:color w:val="auto"/>
        </w:rPr>
        <w:t xml:space="preserve">U.S. GAAP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 xml:space="preserve">International Financial Reporting Standards as issued Other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by the International Accounting Standards Board </w:t>
      </w:r>
      <w:r>
        <w:rPr>
          <w:rFonts w:ascii="Wingdings" w:cs="Wingdings" w:eastAsia="Wingdings" w:hAnsi="Wingdings"/>
          <w:sz w:val="18"/>
          <w:szCs w:val="18"/>
          <w:b w:val="1"/>
          <w:bCs w:val="1"/>
          <w:color w:val="auto"/>
        </w:rPr>
        <w:t>x</w:t>
      </w:r>
    </w:p>
    <w:p>
      <w:pPr>
        <w:spacing w:after="0" w:line="23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62" w:lineRule="exact"/>
        <w:rPr>
          <w:sz w:val="20"/>
          <w:szCs w:val="20"/>
          <w:color w:val="auto"/>
        </w:rPr>
      </w:pPr>
    </w:p>
    <w:p>
      <w:pPr>
        <w:ind w:left="9320"/>
        <w:spacing w:after="0"/>
        <w:tabs>
          <w:tab w:leader="none" w:pos="10460" w:val="left"/>
        </w:tabs>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Item 17</w:t>
      </w:r>
      <w:r>
        <w:rPr>
          <w:sz w:val="20"/>
          <w:szCs w:val="20"/>
          <w:color w:val="auto"/>
        </w:rPr>
        <w:tab/>
      </w:r>
      <w:r>
        <w:rPr>
          <w:rFonts w:ascii="Wingdings" w:cs="Wingdings" w:eastAsia="Wingdings" w:hAnsi="Wingdings"/>
          <w:sz w:val="15"/>
          <w:szCs w:val="15"/>
          <w:b w:val="1"/>
          <w:bCs w:val="1"/>
          <w:color w:val="auto"/>
        </w:rPr>
        <w:t xml:space="preserve">o </w:t>
      </w:r>
      <w:r>
        <w:rPr>
          <w:rFonts w:ascii="Times New Roman" w:cs="Times New Roman" w:eastAsia="Times New Roman" w:hAnsi="Times New Roman"/>
          <w:sz w:val="15"/>
          <w:szCs w:val="15"/>
          <w:color w:val="auto"/>
        </w:rPr>
        <w:t>Item 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225" w:lineRule="exact"/>
        <w:rPr>
          <w:sz w:val="20"/>
          <w:szCs w:val="20"/>
          <w:color w:val="auto"/>
        </w:rPr>
      </w:pPr>
    </w:p>
    <w:p>
      <w:pPr>
        <w:ind w:left="986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62" w:lineRule="exact"/>
        <w:rPr>
          <w:sz w:val="20"/>
          <w:szCs w:val="20"/>
          <w:color w:val="auto"/>
        </w:rPr>
      </w:pPr>
    </w:p>
    <w:p>
      <w:pPr>
        <w:ind w:left="9940"/>
        <w:spacing w:after="0"/>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This Amendment No. 1 on Form 20-F/A (the “Amendment”) is being filed by Prenetics Global Limited (the “Company,” “we,” “our,” or “us”) to amend the Company’s Annual Report on Form 20-F for the fiscal year ended December 31, 2025, originally filed with the U.S. Securities Exchange Commission on April 30, 2026 (the “Original Filing”). This Amendment is being filed solely for the purpose of complying with Regulation S-X, Rule 3-09. Rule 3-09 requires, among other things, that separate financial statements for unconsolidated subsidiaries and investees accounted for by the equity method to be included in the Form 20-F when such entities are individually significant.</w:t>
      </w:r>
    </w:p>
    <w:p>
      <w:pPr>
        <w:spacing w:after="0" w:line="18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have determined that our equity method investment in Insighta Holdings Limited (hereinafter referred to as “Insighta”), which is not consolidated in our financial statements, was significant under the investment test of Rule 1-02(w) of Regulation S-X in relation to our financial results for the year ended December 31, 2025. This Amendment is therefore filed solely to supplement the Original Filing with the inclusion of the financial statements and related notes of Insighta as of December 31, 2025 and for the year ended December 31, 2025 (the “Insighta Financial Statements”).</w:t>
      </w:r>
    </w:p>
    <w:p>
      <w:pPr>
        <w:spacing w:after="0" w:line="180" w:lineRule="exact"/>
        <w:rPr>
          <w:sz w:val="20"/>
          <w:szCs w:val="20"/>
          <w:color w:val="auto"/>
        </w:rPr>
      </w:pPr>
    </w:p>
    <w:p>
      <w:pPr>
        <w:jc w:val="both"/>
        <w:ind w:right="360" w:firstLine="405"/>
        <w:spacing w:after="0" w:line="261" w:lineRule="auto"/>
        <w:rPr>
          <w:sz w:val="20"/>
          <w:szCs w:val="20"/>
          <w:color w:val="auto"/>
        </w:rPr>
      </w:pPr>
      <w:r>
        <w:rPr>
          <w:rFonts w:ascii="Times New Roman" w:cs="Times New Roman" w:eastAsia="Times New Roman" w:hAnsi="Times New Roman"/>
          <w:sz w:val="18"/>
          <w:szCs w:val="18"/>
          <w:color w:val="auto"/>
        </w:rPr>
        <w:t>This Form 20-F/A consists solely of the cover page, this explanatory note, the Insighta Financial Statements, updated certifications of our chief executive officer and chief financial officer, and consent of the independent auditor of Insighta. This Amendment does not affect any other parts of, or exhibits to, the Original Filing, nor does it reflect events occurring after the date of the Original Filing. Accordingly, this Amendment should be read in conjunction with the Original Filing and with our filings with the U.S. Securities Exchange Commission subsequent to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160" w:type="dxa"/>
            <w:vAlign w:val="bottom"/>
          </w:tcPr>
          <w:p>
            <w:pPr>
              <w:jc w:val="right"/>
              <w:ind w:right="4573"/>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406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III.</w:t>
            </w:r>
          </w:p>
        </w:tc>
        <w:tc>
          <w:tcPr>
            <w:tcW w:w="71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1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18. FINANCIAL STATEMENTS</w:t>
            </w:r>
          </w:p>
        </w:tc>
        <w:tc>
          <w:tcPr>
            <w:tcW w:w="7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48"/>
        </w:trPr>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71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19. EXHIBITS</w:t>
            </w:r>
          </w:p>
        </w:tc>
        <w:tc>
          <w:tcPr>
            <w:tcW w:w="71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1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06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7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1067"/>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financial statements are included in this Form 20-F/A: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Consolidated financial statements of Insighta Holdings Limited as of December 31, 2025 and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260" w:type="dxa"/>
            <w:vAlign w:val="bottom"/>
            <w:gridSpan w:val="4"/>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9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CEO Certification Pursuant to Section 302 of the Sarbanes-Oxley Act of 2002</w:t>
            </w:r>
          </w:p>
        </w:tc>
        <w:tc>
          <w:tcPr>
            <w:tcW w:w="4320" w:type="dxa"/>
            <w:vAlign w:val="bottom"/>
          </w:tcPr>
          <w:p>
            <w:pPr>
              <w:spacing w:after="0"/>
              <w:rPr>
                <w:sz w:val="24"/>
                <w:szCs w:val="24"/>
                <w:color w:val="auto"/>
              </w:rPr>
            </w:pPr>
          </w:p>
        </w:tc>
      </w:tr>
      <w:tr>
        <w:trPr>
          <w:trHeight w:val="35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CFO Certification Pursuant to Section 302 of the Sarbanes-Oxley Act of 2002</w:t>
            </w:r>
          </w:p>
        </w:tc>
        <w:tc>
          <w:tcPr>
            <w:tcW w:w="4340" w:type="dxa"/>
            <w:vAlign w:val="bottom"/>
            <w:gridSpan w:val="2"/>
          </w:tcPr>
          <w:p>
            <w:pPr>
              <w:spacing w:after="0"/>
              <w:rPr>
                <w:sz w:val="24"/>
                <w:szCs w:val="24"/>
                <w:color w:val="auto"/>
              </w:rPr>
            </w:pPr>
          </w:p>
        </w:tc>
      </w:tr>
      <w:tr>
        <w:trPr>
          <w:trHeight w:val="35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CEO Certification Pursuant to Section 906 of the Sarbanes-Oxley Act of 2002</w:t>
            </w:r>
          </w:p>
        </w:tc>
        <w:tc>
          <w:tcPr>
            <w:tcW w:w="4320" w:type="dxa"/>
            <w:vAlign w:val="bottom"/>
          </w:tcPr>
          <w:p>
            <w:pPr>
              <w:spacing w:after="0"/>
              <w:rPr>
                <w:sz w:val="24"/>
                <w:szCs w:val="24"/>
                <w:color w:val="auto"/>
              </w:rPr>
            </w:pPr>
          </w:p>
        </w:tc>
      </w:tr>
      <w:tr>
        <w:trPr>
          <w:trHeight w:val="35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CFO Certification Pursuant to Section 906 of the Sarbanes-Oxley Act of 2002</w:t>
            </w:r>
          </w:p>
        </w:tc>
        <w:tc>
          <w:tcPr>
            <w:tcW w:w="4360" w:type="dxa"/>
            <w:vAlign w:val="bottom"/>
            <w:gridSpan w:val="3"/>
          </w:tcPr>
          <w:p>
            <w:pPr>
              <w:spacing w:after="0"/>
              <w:rPr>
                <w:sz w:val="24"/>
                <w:szCs w:val="24"/>
                <w:color w:val="auto"/>
              </w:rPr>
            </w:pPr>
          </w:p>
        </w:tc>
      </w:tr>
      <w:tr>
        <w:trPr>
          <w:trHeight w:val="35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Consent of Deloitte Touche Tohmatsu</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18"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amendment to Annual Report on Form 20-F.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with this amendment to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1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37"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Danny Sheng Wu Yeung</w:t>
            </w:r>
          </w:p>
        </w:tc>
      </w:tr>
      <w:tr>
        <w:trPr>
          <w:trHeight w:val="27"/>
        </w:trPr>
        <w:tc>
          <w:tcPr>
            <w:tcW w:w="7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Danny Sheng Wu Yeung</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Insighta Holdings Limited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the Cayman Islands with limited liability)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and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576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2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Independent Auditor's Report</w:t>
            </w:r>
          </w:p>
        </w:tc>
        <w:tc>
          <w:tcPr>
            <w:tcW w:w="3320" w:type="dxa"/>
            <w:vAlign w:val="bottom"/>
            <w:gridSpan w:val="5"/>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2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profit or loss and other comprehensive income</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58"/>
        </w:trPr>
        <w:tc>
          <w:tcPr>
            <w:tcW w:w="20" w:type="dxa"/>
            <w:vAlign w:val="bottom"/>
          </w:tcPr>
          <w:p>
            <w:pPr>
              <w:spacing w:after="0"/>
              <w:rPr>
                <w:sz w:val="24"/>
                <w:szCs w:val="24"/>
                <w:color w:val="auto"/>
              </w:rPr>
            </w:pPr>
          </w:p>
        </w:tc>
        <w:tc>
          <w:tcPr>
            <w:tcW w:w="3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financial position</w:t>
            </w:r>
          </w:p>
        </w:tc>
        <w:tc>
          <w:tcPr>
            <w:tcW w:w="2080" w:type="dxa"/>
            <w:vAlign w:val="bottom"/>
            <w:tcBorders>
              <w:top w:val="single" w:sz="8" w:color="0000FF"/>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58"/>
        </w:trPr>
        <w:tc>
          <w:tcPr>
            <w:tcW w:w="20" w:type="dxa"/>
            <w:vAlign w:val="bottom"/>
          </w:tcPr>
          <w:p>
            <w:pPr>
              <w:spacing w:after="0"/>
              <w:rPr>
                <w:sz w:val="24"/>
                <w:szCs w:val="24"/>
                <w:color w:val="auto"/>
              </w:rPr>
            </w:pPr>
          </w:p>
        </w:tc>
        <w:tc>
          <w:tcPr>
            <w:tcW w:w="3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2200" w:type="dxa"/>
            <w:vAlign w:val="bottom"/>
            <w:gridSpan w:val="3"/>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58"/>
        </w:trPr>
        <w:tc>
          <w:tcPr>
            <w:tcW w:w="2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952"/>
        </w:trPr>
        <w:tc>
          <w:tcPr>
            <w:tcW w:w="20" w:type="dxa"/>
            <w:vAlign w:val="bottom"/>
          </w:tcPr>
          <w:p>
            <w:pPr>
              <w:spacing w:after="0"/>
              <w:rPr>
                <w:sz w:val="24"/>
                <w:szCs w:val="24"/>
                <w:color w:val="auto"/>
              </w:rPr>
            </w:pPr>
          </w:p>
        </w:tc>
        <w:tc>
          <w:tcPr>
            <w:tcW w:w="2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r>
        <w:trPr>
          <w:trHeight w:val="115"/>
        </w:trPr>
        <w:tc>
          <w:tcPr>
            <w:tcW w:w="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Insighta Holdings Limited: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0"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18"/>
          <w:szCs w:val="18"/>
          <w:color w:val="auto"/>
        </w:rPr>
        <w:t>We have audited the consolidated financial statements of Insighta Holdings Limited and subsidiaries (the "Company"), which comprise the consolidated statements of financial position as at December 31, 2025 and 2024, and the related consolidated statements of profit or loss and other comprehensive income, consolidated statements of changes in equity and consolidated statements of cash flows for the years then ended, and the related notes to the consolidated financial statements (collectively referred to as the "financial statements").</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2024, and the results of its operations and its cash flows for each of the two years ended December 31, 2025 and 2024 in accordance with IFRS Accounting Standards as issued by the International Accounting Standards Board (IASB).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IFRS Accounting Standards as issued by the IASB, and for the design, implementation, and maintenance of internal control relevant to the preparation and fair presentation of consolidated financial statements that are free from material misstatement, whether due to fraud or error.</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responsible for assessing the Company’s ability to continue as a going concern at least, but not limited to, twelve months from the end of the reporting period, disclosing, as applicable, matters related to going concern and using the going concern basis of accounting unless management either intends to liquidate the Company or to cease operations, or has no realistic alternative but to do so.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 for the Audit of the Consolidated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 for the Audit of the Consolidated Financial Statements -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7"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Times New Roman" w:cs="Times New Roman" w:eastAsia="Times New Roman" w:hAnsi="Times New Roman"/>
          <w:sz w:val="18"/>
          <w:szCs w:val="18"/>
          <w:color w:val="auto"/>
        </w:rPr>
      </w:pPr>
    </w:p>
    <w:p>
      <w:pPr>
        <w:jc w:val="both"/>
        <w:ind w:left="660" w:right="1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Insighta Holdings Limited's internal control. Accordingly, no such opinion is expressed.</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ind w:left="660" w:right="68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Insighta Holdings Limited's ability to continue as a going concern for a reasonable period of time.</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the consolidated statements of financial position of Insighta Holdings Limited as at December 31, 2025 and 2024, and the related consolidated statements of profit or loss and other comprehensive income, consolidated statements of changes in equity and consolidated statements of cash flows for the years then ended are presented for purposes of complying with Rule 3-09 of SEC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Deloitte Touche Tohmatsu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profit or loss and other comprehensive income for the years ended December 31, 2025 and 2024 </w:t>
      </w:r>
      <w:r>
        <w:rPr>
          <w:rFonts w:ascii="Times New Roman" w:cs="Times New Roman" w:eastAsia="Times New Roman" w:hAnsi="Times New Roman"/>
          <w:sz w:val="18"/>
          <w:szCs w:val="18"/>
          <w:i w:val="1"/>
          <w:iCs w:val="1"/>
          <w:color w:val="auto"/>
        </w:rPr>
        <w:t>(All amounts in Hong Kong dollars ("$"))</w:t>
      </w:r>
    </w:p>
    <w:p>
      <w:pPr>
        <w:spacing w:after="0" w:line="209"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i w:val="1"/>
                <w:iCs w:val="1"/>
                <w:color w:val="auto"/>
                <w:w w:val="99"/>
              </w:rPr>
              <w:t>Notes</w:t>
            </w: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r>
      <w:tr>
        <w:trPr>
          <w:trHeight w:val="27"/>
        </w:trPr>
        <w:tc>
          <w:tcPr>
            <w:tcW w:w="49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244,218</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(151,767)</w:t>
            </w:r>
          </w:p>
        </w:tc>
      </w:tr>
      <w:tr>
        <w:trPr>
          <w:trHeight w:val="27"/>
        </w:trPr>
        <w:tc>
          <w:tcPr>
            <w:tcW w:w="49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92,451</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27,896,174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32,039,344</w:t>
            </w:r>
          </w:p>
        </w:tc>
      </w:tr>
      <w:tr>
        <w:trPr>
          <w:trHeight w:val="27"/>
        </w:trPr>
        <w:tc>
          <w:tcPr>
            <w:tcW w:w="4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 and losses</w:t>
            </w:r>
          </w:p>
        </w:tc>
        <w:tc>
          <w:tcPr>
            <w:tcW w:w="1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(2,546,087)</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administrative expenses</w:t>
            </w:r>
          </w:p>
        </w:tc>
        <w:tc>
          <w:tcPr>
            <w:tcW w:w="1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(26,819,214)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(24,964,324)</w:t>
            </w:r>
          </w:p>
        </w:tc>
      </w:tr>
      <w:tr>
        <w:trPr>
          <w:trHeight w:val="27"/>
        </w:trPr>
        <w:tc>
          <w:tcPr>
            <w:tcW w:w="4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6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(148,491)</w:t>
            </w:r>
          </w:p>
        </w:tc>
      </w:tr>
      <w:tr>
        <w:trPr>
          <w:trHeight w:val="23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5,804,192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4,472,893</w:t>
            </w:r>
          </w:p>
        </w:tc>
      </w:tr>
      <w:tr>
        <w:trPr>
          <w:trHeight w:val="27"/>
        </w:trPr>
        <w:tc>
          <w:tcPr>
            <w:tcW w:w="4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5,804,192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4,472,893</w:t>
            </w:r>
          </w:p>
        </w:tc>
      </w:tr>
      <w:tr>
        <w:trPr>
          <w:trHeight w:val="27"/>
        </w:trPr>
        <w:tc>
          <w:tcPr>
            <w:tcW w:w="4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expense for the year</w:t>
            </w:r>
          </w:p>
        </w:tc>
        <w:tc>
          <w:tcPr>
            <w:tcW w:w="1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Item that may be subsequently reclassified to profit or loss</w:t>
            </w:r>
          </w:p>
        </w:tc>
        <w:tc>
          <w:tcPr>
            <w:tcW w:w="1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6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(198,909)</w:t>
            </w:r>
          </w:p>
        </w:tc>
      </w:tr>
      <w:tr>
        <w:trPr>
          <w:trHeight w:val="26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6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5,647,859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4,273,984</w:t>
            </w:r>
          </w:p>
        </w:tc>
      </w:tr>
      <w:tr>
        <w:trPr>
          <w:trHeight w:val="21"/>
        </w:trPr>
        <w:tc>
          <w:tcPr>
            <w:tcW w:w="4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17" w:right="10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at December 31, 2025 and 2024</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(All amounts in Hong Kong dollars ("$"))</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tc>
        <w:tc>
          <w:tcPr>
            <w:tcW w:w="30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4,232,077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2,059,621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9</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1,463,566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tcPr>
          <w:p>
            <w:pPr>
              <w:spacing w:after="0"/>
              <w:rPr>
                <w:sz w:val="23"/>
                <w:szCs w:val="23"/>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11</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701,547</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8,625,458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5,049,734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361,985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 deposits and prepayments</w:t>
            </w: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12</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2,474,813</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companies</w:t>
            </w:r>
          </w:p>
        </w:tc>
        <w:tc>
          <w:tcPr>
            <w:tcW w:w="12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deposits</w:t>
            </w: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13</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561,152,523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247,297,181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tcPr>
          <w:p>
            <w:pPr>
              <w:spacing w:after="0"/>
              <w:rPr>
                <w:sz w:val="23"/>
                <w:szCs w:val="23"/>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13</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382,110,455</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627,512,525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632,382,605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0" w:type="dxa"/>
            <w:vAlign w:val="bottom"/>
          </w:tcPr>
          <w:p>
            <w:pPr>
              <w:spacing w:after="0"/>
              <w:rPr>
                <w:sz w:val="24"/>
                <w:szCs w:val="24"/>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636,137,983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637,432,339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Pr>
          <w:p>
            <w:pPr>
              <w:spacing w:after="0"/>
              <w:rPr>
                <w:sz w:val="16"/>
                <w:szCs w:val="16"/>
                <w:color w:val="auto"/>
              </w:rPr>
            </w:pPr>
          </w:p>
        </w:tc>
        <w:tc>
          <w:tcPr>
            <w:tcW w:w="538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tcPr>
          <w:p>
            <w:pPr>
              <w:spacing w:after="0"/>
              <w:rPr>
                <w:sz w:val="23"/>
                <w:szCs w:val="23"/>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14</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497,078</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Liability</w:t>
            </w:r>
          </w:p>
        </w:tc>
        <w:tc>
          <w:tcPr>
            <w:tcW w:w="1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1,674,194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497,078</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 and accruals</w:t>
            </w: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2,692,523</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due to a related company</w:t>
            </w: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15</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9,159,071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tcPr>
          <w:p>
            <w:pPr>
              <w:spacing w:after="0"/>
              <w:rPr>
                <w:sz w:val="23"/>
                <w:szCs w:val="23"/>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14</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1,116,827</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4,849,090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12,968,421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0" w:type="dxa"/>
            <w:vAlign w:val="bottom"/>
          </w:tcPr>
          <w:p>
            <w:pPr>
              <w:spacing w:after="0"/>
              <w:rPr>
                <w:sz w:val="22"/>
                <w:szCs w:val="22"/>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6,523,284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13,465,499</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and Reserves</w:t>
            </w:r>
          </w:p>
        </w:tc>
        <w:tc>
          <w:tcPr>
            <w:tcW w:w="1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16</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623,998,440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623,998,440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tcPr>
          <w:p>
            <w:pPr>
              <w:spacing w:after="0"/>
              <w:rPr>
                <w:sz w:val="23"/>
                <w:szCs w:val="23"/>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5,614,699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629,614,699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623,966,840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38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0" w:type="dxa"/>
            <w:vAlign w:val="bottom"/>
          </w:tcPr>
          <w:p>
            <w:pPr>
              <w:spacing w:after="0"/>
              <w:rPr>
                <w:sz w:val="24"/>
                <w:szCs w:val="24"/>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636,137,983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637,432,339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5380" w:type="dxa"/>
            <w:vAlign w:val="bottom"/>
            <w:tcBorders>
              <w:top w:val="single" w:sz="8" w:color="CCEEFF"/>
              <w:bottom w:val="single" w:sz="8" w:color="CCEEFF"/>
            </w:tcBorders>
            <w:gridSpan w:val="2"/>
            <w:vMerge w:val="restart"/>
          </w:tcPr>
          <w:p>
            <w:pPr>
              <w:ind w:left="478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0"/>
        </w:trPr>
        <w:tc>
          <w:tcPr>
            <w:tcW w:w="800" w:type="dxa"/>
            <w:vAlign w:val="bottom"/>
            <w:vMerge w:val="continue"/>
          </w:tcPr>
          <w:p>
            <w:pPr>
              <w:spacing w:after="0"/>
              <w:rPr>
                <w:sz w:val="24"/>
                <w:szCs w:val="24"/>
                <w:color w:val="auto"/>
              </w:rPr>
            </w:pPr>
          </w:p>
        </w:tc>
        <w:tc>
          <w:tcPr>
            <w:tcW w:w="538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equity for the years ended December 31, 2025 and 2024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212529"/>
        </w:rPr>
        <w:t>All amounts in Hong Kong dollars (“$”)</w:t>
      </w:r>
      <w:r>
        <w:rPr>
          <w:rFonts w:ascii="Times New Roman" w:cs="Times New Roman" w:eastAsia="Times New Roman" w:hAnsi="Times New Roman"/>
          <w:sz w:val="18"/>
          <w:szCs w:val="18"/>
          <w:i w:val="1"/>
          <w:iCs w:val="1"/>
          <w:color w:val="auto"/>
        </w:rPr>
        <w:t>)</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(Accumulated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i w:val="1"/>
                <w:iCs w:val="1"/>
                <w:color w:val="auto"/>
                <w:w w:val="99"/>
              </w:rPr>
              <w:t>Share</w:t>
            </w: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i w:val="1"/>
                <w:iCs w:val="1"/>
                <w:color w:val="auto"/>
                <w:w w:val="99"/>
              </w:rPr>
              <w:t>Share</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Translation</w:t>
            </w: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w w:val="99"/>
              </w:rPr>
              <w:t>losses) retained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i w:val="1"/>
                <w:iCs w:val="1"/>
                <w:color w:val="auto"/>
                <w:w w:val="99"/>
              </w:rPr>
              <w:t>capital</w:t>
            </w:r>
          </w:p>
        </w:tc>
        <w:tc>
          <w:tcPr>
            <w:tcW w:w="24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i w:val="1"/>
                <w:iCs w:val="1"/>
                <w:color w:val="auto"/>
              </w:rPr>
              <w:t>premium</w:t>
            </w: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8"/>
              </w:rPr>
              <w:t>reserve</w:t>
            </w:r>
          </w:p>
        </w:tc>
        <w:tc>
          <w:tcPr>
            <w:tcW w:w="12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8"/>
              </w:rPr>
              <w:t>earnings</w:t>
            </w: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r>
      <w:tr>
        <w:trPr>
          <w:trHeight w:val="27"/>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at January 1, 2024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623,998,440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(4,318,281)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619,692,856</w:t>
            </w:r>
          </w:p>
        </w:tc>
      </w:tr>
      <w:tr>
        <w:trPr>
          <w:trHeight w:val="22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and total comprehensive (expense)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Profit for the year</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4,472,893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4,472,893</w:t>
            </w:r>
          </w:p>
        </w:tc>
      </w:tr>
      <w:tr>
        <w:trPr>
          <w:trHeight w:val="243"/>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expense for the year</w:t>
            </w:r>
          </w:p>
        </w:tc>
        <w:tc>
          <w:tcPr>
            <w:tcW w:w="28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(198,909)</w:t>
            </w:r>
          </w:p>
        </w:tc>
      </w:tr>
      <w:tr>
        <w:trPr>
          <w:trHeight w:val="27"/>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5"/>
        </w:trPr>
        <w:tc>
          <w:tcPr>
            <w:tcW w:w="3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comprehensive (expense) income for</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61"/>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4,472,893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4,273,984</w:t>
            </w:r>
          </w:p>
        </w:tc>
      </w:tr>
      <w:tr>
        <w:trPr>
          <w:trHeight w:val="23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at December 31, 2024</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623,998,440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154,612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623,966,840</w:t>
            </w: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and total comprehensive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1"/>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Profit for the year</w:t>
            </w:r>
          </w:p>
        </w:tc>
        <w:tc>
          <w:tcPr>
            <w:tcW w:w="28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5,804,192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5,804,192</w:t>
            </w: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expense for the year</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(156,333)</w:t>
            </w: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comprehensive (expense) income for</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280" w:type="dxa"/>
            <w:vAlign w:val="bottom"/>
          </w:tcPr>
          <w:p>
            <w:pPr>
              <w:spacing w:after="0"/>
              <w:rPr>
                <w:sz w:val="20"/>
                <w:szCs w:val="20"/>
                <w:color w:val="auto"/>
              </w:rPr>
            </w:pPr>
          </w:p>
        </w:tc>
        <w:tc>
          <w:tcPr>
            <w:tcW w:w="1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5,804,192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5,647,859</w:t>
            </w:r>
          </w:p>
        </w:tc>
      </w:tr>
      <w:tr>
        <w:trPr>
          <w:trHeight w:val="27"/>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at December 31, 2025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623,998,440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5,958,804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629,614,699</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for the years ended December 31, 2025 and 2024</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212529"/>
              </w:rPr>
              <w:t>All amounts in Hong Kong dollars (“$”)</w:t>
            </w:r>
            <w:r>
              <w:rPr>
                <w:rFonts w:ascii="Times New Roman" w:cs="Times New Roman" w:eastAsia="Times New Roman" w:hAnsi="Times New Roman"/>
                <w:sz w:val="18"/>
                <w:szCs w:val="18"/>
                <w:i w:val="1"/>
                <w:iCs w:val="1"/>
                <w:color w:val="auto"/>
              </w:rPr>
              <w:t>)</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Profit before tax</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5,804,192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4,472,893</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(26,835,314)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(31,280,591)</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148,491</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1,671,269</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2,416,122</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(104,493)</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160,966</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Waiver of amount due to a related company</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(22,135,564)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(22,470,343)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412,810</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trade and other receivables, deposits and</w:t>
            </w:r>
          </w:p>
        </w:tc>
        <w:tc>
          <w:tcPr>
            <w:tcW w:w="2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(2,027,040)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3,577,216</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28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amounts due from related companies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86,269</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trade and other payables and accruals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1,055,806</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240" w:type="dxa"/>
            <w:vAlign w:val="bottom"/>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(25,689,859)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(17,338,242)</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received</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26,835,314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31,280,591</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(606,296)</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240" w:type="dxa"/>
            <w:vAlign w:val="bottom"/>
          </w:tcPr>
          <w:p>
            <w:pPr>
              <w:spacing w:after="0"/>
              <w:rPr>
                <w:sz w:val="18"/>
                <w:szCs w:val="18"/>
                <w:color w:val="auto"/>
              </w:rPr>
            </w:pPr>
          </w:p>
        </w:tc>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Placement of fixed bank deposits with more than three months to maturity</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(313,855,342)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(247,297,181)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4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when raised</w:t>
            </w:r>
          </w:p>
        </w:tc>
        <w:tc>
          <w:tcPr>
            <w:tcW w:w="28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tcPr>
          <w:p>
            <w:pPr>
              <w:spacing w:after="0"/>
              <w:rPr>
                <w:sz w:val="23"/>
                <w:szCs w:val="23"/>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to related companies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(290,423,712)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(216,622,886)</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(148,491)</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from a related company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2,445,062</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to a related company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(1,204,753)</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tcPr>
          <w:p>
            <w:pPr>
              <w:spacing w:after="0"/>
              <w:rPr>
                <w:sz w:val="23"/>
                <w:szCs w:val="23"/>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(2,392,871)</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(4,621,972)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(1,301,053)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(320,735,543)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(235,262,181)</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324,925</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382,110,455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617,047,711</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240" w:type="dxa"/>
            <w:vAlign w:val="bottom"/>
          </w:tcPr>
          <w:p>
            <w:pPr>
              <w:spacing w:after="0"/>
              <w:rPr>
                <w:sz w:val="16"/>
                <w:szCs w:val="16"/>
                <w:color w:val="auto"/>
              </w:rPr>
            </w:pPr>
          </w:p>
        </w:tc>
        <w:tc>
          <w:tcPr>
            <w:tcW w:w="56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 the year, represented by cash</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61,031,110</w:t>
            </w:r>
          </w:p>
        </w:tc>
        <w:tc>
          <w:tcPr>
            <w:tcW w:w="10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382,110,455</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and cash equivalents</w:t>
            </w:r>
          </w:p>
        </w:tc>
        <w:tc>
          <w:tcPr>
            <w:tcW w:w="2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900" w:type="dxa"/>
            <w:vAlign w:val="bottom"/>
            <w:gridSpan w:val="3"/>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1"/>
        </w:trPr>
        <w:tc>
          <w:tcPr>
            <w:tcW w:w="69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212529"/>
        </w:rPr>
        <w:t>All amounts in Hong Kong dollars (“$”), except for share, and otherwise stated</w:t>
      </w:r>
      <w:r>
        <w:rPr>
          <w:rFonts w:ascii="Times New Roman" w:cs="Times New Roman" w:eastAsia="Times New Roman" w:hAnsi="Times New Roman"/>
          <w:sz w:val="18"/>
          <w:szCs w:val="18"/>
          <w:i w:val="1"/>
          <w:iCs w:val="1"/>
          <w:color w:val="auto"/>
        </w:rPr>
        <w:t>)</w:t>
      </w:r>
    </w:p>
    <w:p>
      <w:pPr>
        <w:spacing w:after="0" w:line="9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General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Insighta Holdings Limited (the "Company") is a private limited company incorporated in the Cayman Islands on March 17, 2023.</w:t>
      </w:r>
    </w:p>
    <w:p>
      <w:pPr>
        <w:spacing w:after="0" w:line="117"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and principal place of business of the Company is P.O. Box 31119 Grand Pavilion, Hibiscus Way, 802 West Bay Road, Grand Cayman, KY1-1205 Cayman Islands.</w:t>
      </w:r>
    </w:p>
    <w:p>
      <w:pPr>
        <w:spacing w:after="0" w:line="54" w:lineRule="exact"/>
        <w:rPr>
          <w:sz w:val="20"/>
          <w:szCs w:val="20"/>
          <w:color w:val="auto"/>
        </w:rPr>
      </w:pPr>
    </w:p>
    <w:p>
      <w:pPr>
        <w:jc w:val="both"/>
        <w:ind w:left="420" w:right="20"/>
        <w:spacing w:after="0" w:line="282" w:lineRule="auto"/>
        <w:rPr>
          <w:sz w:val="20"/>
          <w:szCs w:val="20"/>
          <w:color w:val="auto"/>
        </w:rPr>
      </w:pPr>
      <w:r>
        <w:rPr>
          <w:rFonts w:ascii="Times New Roman" w:cs="Times New Roman" w:eastAsia="Times New Roman" w:hAnsi="Times New Roman"/>
          <w:sz w:val="18"/>
          <w:szCs w:val="18"/>
          <w:color w:val="auto"/>
        </w:rPr>
        <w:t>The principal activities of the Company are investment holding, and together with its subsidiaries (the "Group") are engaged in biotechnology research, sale of related test kits and provision of diagnostics services as disclosed in note 21.</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consolidated financial statements are presented in Hong Kong dollars ("HK$"), which is also the functional currency of the Company.</w:t>
      </w:r>
    </w:p>
    <w:p>
      <w:pPr>
        <w:spacing w:after="0" w:line="32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Application of new and amendments to IFRS Accounting Standards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Amendments to IFRS Accounting Standards that are mandatorily effective for the current year</w:t>
      </w:r>
    </w:p>
    <w:p>
      <w:pPr>
        <w:spacing w:after="0" w:line="121"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In the current year, the Group has applied the following amendments to IFRS Accounting Standards as issued by the International Accounting Standards Board ("IASB") that are mandatorily effective for the annual periods beginning on or after January 1, 2025. Their adoption has not had any material impact on the disclosures or on the amounts reported in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71755</wp:posOffset>
            </wp:positionV>
            <wp:extent cx="61118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1875" cy="171450"/>
                    </a:xfrm>
                    <a:prstGeom prst="rect">
                      <a:avLst/>
                    </a:prstGeom>
                    <a:noFill/>
                  </pic:spPr>
                </pic:pic>
              </a:graphicData>
            </a:graphic>
          </wp:anchor>
        </w:drawing>
      </w:r>
    </w:p>
    <w:p>
      <w:pPr>
        <w:spacing w:after="0" w:line="102" w:lineRule="exact"/>
        <w:rPr>
          <w:sz w:val="20"/>
          <w:szCs w:val="20"/>
          <w:color w:val="auto"/>
        </w:rPr>
      </w:pPr>
    </w:p>
    <w:p>
      <w:pPr>
        <w:ind w:left="820"/>
        <w:spacing w:after="0"/>
        <w:tabs>
          <w:tab w:leader="none" w:pos="4200" w:val="left"/>
        </w:tabs>
        <w:rPr>
          <w:sz w:val="20"/>
          <w:szCs w:val="20"/>
          <w:color w:val="auto"/>
        </w:rPr>
      </w:pPr>
      <w:r>
        <w:rPr>
          <w:rFonts w:ascii="Times New Roman" w:cs="Times New Roman" w:eastAsia="Times New Roman" w:hAnsi="Times New Roman"/>
          <w:sz w:val="18"/>
          <w:szCs w:val="18"/>
          <w:color w:val="auto"/>
        </w:rPr>
        <w:t>Amendments to IAS 21</w:t>
      </w:r>
      <w:r>
        <w:rPr>
          <w:sz w:val="20"/>
          <w:szCs w:val="20"/>
          <w:color w:val="auto"/>
        </w:rPr>
        <w:tab/>
      </w:r>
      <w:r>
        <w:rPr>
          <w:rFonts w:ascii="Times New Roman" w:cs="Times New Roman" w:eastAsia="Times New Roman" w:hAnsi="Times New Roman"/>
          <w:sz w:val="17"/>
          <w:szCs w:val="17"/>
          <w:color w:val="auto"/>
        </w:rPr>
        <w:t>Lack of Exchangeability</w:t>
      </w:r>
    </w:p>
    <w:p>
      <w:pPr>
        <w:spacing w:after="0" w:line="239"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The application of the amendments to IFRS Accounting Standards in the current year has had no material impact on the Group's financial positions and performance for the current and prior period and/or on the disclosures set out in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and revised standards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New and amendments to IFRS Accounting Standards in issue but not yet effective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Group has not early applied the following new and amendments to IFRS Accounting Standards that have been issued but are not yet effective: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7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Amendments to IAS 21</w:t>
            </w: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Translation to a Hyperinflationary Presentation Currency</w:t>
            </w:r>
            <w:r>
              <w:rPr>
                <w:rFonts w:ascii="Times New Roman" w:cs="Times New Roman" w:eastAsia="Times New Roman" w:hAnsi="Times New Roman"/>
                <w:sz w:val="23"/>
                <w:szCs w:val="23"/>
                <w:color w:val="auto"/>
                <w:vertAlign w:val="superscript"/>
              </w:rPr>
              <w:t>3</w:t>
            </w:r>
          </w:p>
        </w:tc>
      </w:tr>
      <w:tr>
        <w:trPr>
          <w:trHeight w:val="22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 to IFRS 9 and IFRS 7</w:t>
            </w:r>
          </w:p>
        </w:tc>
        <w:tc>
          <w:tcPr>
            <w:tcW w:w="5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to the Classification and Measurement of Financial</w:t>
            </w:r>
          </w:p>
        </w:tc>
      </w:tr>
      <w:tr>
        <w:trPr>
          <w:trHeight w:val="265"/>
        </w:trPr>
        <w:tc>
          <w:tcPr>
            <w:tcW w:w="3320" w:type="dxa"/>
            <w:vAlign w:val="bottom"/>
          </w:tcPr>
          <w:p>
            <w:pPr>
              <w:spacing w:after="0"/>
              <w:rPr>
                <w:sz w:val="23"/>
                <w:szCs w:val="23"/>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Instruments</w:t>
            </w:r>
            <w:r>
              <w:rPr>
                <w:rFonts w:ascii="Times New Roman" w:cs="Times New Roman" w:eastAsia="Times New Roman" w:hAnsi="Times New Roman"/>
                <w:sz w:val="23"/>
                <w:szCs w:val="23"/>
                <w:color w:val="auto"/>
                <w:vertAlign w:val="superscript"/>
              </w:rPr>
              <w:t>2</w:t>
            </w:r>
          </w:p>
        </w:tc>
      </w:tr>
      <w:tr>
        <w:trPr>
          <w:trHeight w:val="27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Amendments to IFRS 9 and IFRS 7</w:t>
            </w: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Contracts Referencing Nature-dependent Electricity</w:t>
            </w:r>
            <w:r>
              <w:rPr>
                <w:rFonts w:ascii="Times New Roman" w:cs="Times New Roman" w:eastAsia="Times New Roman" w:hAnsi="Times New Roman"/>
                <w:sz w:val="23"/>
                <w:szCs w:val="23"/>
                <w:color w:val="auto"/>
                <w:vertAlign w:val="superscript"/>
              </w:rPr>
              <w:t>2</w:t>
            </w:r>
          </w:p>
        </w:tc>
      </w:tr>
      <w:tr>
        <w:trPr>
          <w:trHeight w:val="22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 to IFRS 10 and IAS 28</w:t>
            </w:r>
          </w:p>
        </w:tc>
        <w:tc>
          <w:tcPr>
            <w:tcW w:w="5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or Contribution of Assets between an Investor and its Associate or Joint</w:t>
            </w:r>
          </w:p>
        </w:tc>
      </w:tr>
      <w:tr>
        <w:trPr>
          <w:trHeight w:val="265"/>
        </w:trPr>
        <w:tc>
          <w:tcPr>
            <w:tcW w:w="3320" w:type="dxa"/>
            <w:vAlign w:val="bottom"/>
          </w:tcPr>
          <w:p>
            <w:pPr>
              <w:spacing w:after="0"/>
              <w:rPr>
                <w:sz w:val="23"/>
                <w:szCs w:val="23"/>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Venture</w:t>
            </w:r>
            <w:r>
              <w:rPr>
                <w:rFonts w:ascii="Times New Roman" w:cs="Times New Roman" w:eastAsia="Times New Roman" w:hAnsi="Times New Roman"/>
                <w:sz w:val="23"/>
                <w:szCs w:val="23"/>
                <w:color w:val="auto"/>
                <w:vertAlign w:val="superscript"/>
              </w:rPr>
              <w:t>1</w:t>
            </w:r>
          </w:p>
        </w:tc>
      </w:tr>
      <w:tr>
        <w:trPr>
          <w:trHeight w:val="27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Amendments to IFRS Accounting Standards</w:t>
            </w: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Annual Improvements to IFRS Accounting Standards - Volume 11</w:t>
            </w:r>
            <w:r>
              <w:rPr>
                <w:rFonts w:ascii="Times New Roman" w:cs="Times New Roman" w:eastAsia="Times New Roman" w:hAnsi="Times New Roman"/>
                <w:sz w:val="23"/>
                <w:szCs w:val="23"/>
                <w:color w:val="auto"/>
                <w:vertAlign w:val="superscript"/>
              </w:rPr>
              <w:t>2</w:t>
            </w:r>
          </w:p>
        </w:tc>
      </w:tr>
      <w:tr>
        <w:trPr>
          <w:trHeight w:val="27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IFRS 18</w:t>
            </w:r>
          </w:p>
        </w:tc>
        <w:tc>
          <w:tcPr>
            <w:tcW w:w="5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Presentation and Disclosure in Financial Statements</w:t>
            </w:r>
            <w:r>
              <w:rPr>
                <w:rFonts w:ascii="Times New Roman" w:cs="Times New Roman" w:eastAsia="Times New Roman" w:hAnsi="Times New Roman"/>
                <w:sz w:val="23"/>
                <w:szCs w:val="23"/>
                <w:color w:val="auto"/>
                <w:vertAlign w:val="superscript"/>
              </w:rPr>
              <w:t>3</w:t>
            </w:r>
          </w:p>
        </w:tc>
      </w:tr>
      <w:tr>
        <w:trPr>
          <w:trHeight w:val="27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IFRS 20</w:t>
            </w: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Regulatory Assets and Regulatory Liabilities</w:t>
            </w:r>
            <w:r>
              <w:rPr>
                <w:rFonts w:ascii="Times New Roman" w:cs="Times New Roman" w:eastAsia="Times New Roman" w:hAnsi="Times New Roman"/>
                <w:sz w:val="23"/>
                <w:szCs w:val="23"/>
                <w:color w:val="auto"/>
                <w:vertAlign w:val="superscript"/>
              </w:rPr>
              <w:t>4</w:t>
            </w:r>
          </w:p>
        </w:tc>
      </w:tr>
      <w:tr>
        <w:trPr>
          <w:trHeight w:val="27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IFRS 19</w:t>
            </w:r>
          </w:p>
        </w:tc>
        <w:tc>
          <w:tcPr>
            <w:tcW w:w="5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 without Public Accountability: Disclosures</w:t>
            </w:r>
            <w:r>
              <w:rPr>
                <w:rFonts w:ascii="Times New Roman" w:cs="Times New Roman" w:eastAsia="Times New Roman" w:hAnsi="Times New Roman"/>
                <w:sz w:val="23"/>
                <w:szCs w:val="23"/>
                <w:color w:val="auto"/>
                <w:vertAlign w:val="superscript"/>
              </w:rPr>
              <w:t>3</w:t>
            </w:r>
          </w:p>
        </w:tc>
      </w:tr>
      <w:tr>
        <w:trPr>
          <w:trHeight w:val="27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Amendments to IFRS 19</w:t>
            </w: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Amendments to Subsidiaries without Public Accountability: Disclosure</w:t>
            </w:r>
            <w:r>
              <w:rPr>
                <w:rFonts w:ascii="Times New Roman" w:cs="Times New Roman" w:eastAsia="Times New Roman" w:hAnsi="Times New Roman"/>
                <w:sz w:val="23"/>
                <w:szCs w:val="23"/>
                <w:color w:val="auto"/>
                <w:vertAlign w:val="superscript"/>
              </w:rPr>
              <w:t>3</w:t>
            </w:r>
          </w:p>
        </w:tc>
      </w:tr>
    </w:tbl>
    <w:p>
      <w:pPr>
        <w:spacing w:after="0" w:line="252" w:lineRule="exact"/>
        <w:rPr>
          <w:sz w:val="20"/>
          <w:szCs w:val="20"/>
          <w:color w:val="auto"/>
        </w:rPr>
      </w:pPr>
    </w:p>
    <w:p>
      <w:pPr>
        <w:ind w:left="660" w:hanging="166"/>
        <w:spacing w:after="0"/>
        <w:tabs>
          <w:tab w:leader="none" w:pos="6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for annual periods beginning on or after a date to be determined</w:t>
      </w:r>
    </w:p>
    <w:p>
      <w:pPr>
        <w:ind w:left="500" w:right="5740" w:hanging="6"/>
        <w:spacing w:after="0" w:line="239" w:lineRule="auto"/>
        <w:tabs>
          <w:tab w:leader="none" w:pos="73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Effective for annual periods beginning on or after January 1, 2026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Effective for annual periods beginning on or after January 1, 2027 </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 xml:space="preserve"> Effective for annual periods beginning on or after January 1, 2029</w:t>
      </w:r>
    </w:p>
    <w:p>
      <w:pPr>
        <w:spacing w:after="0" w:line="8"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Except for the new and amendments to IFRS Accounting Standards mentioned below, the directors of the Company anticipate that the application of all other new and amendments to IFRS Accounting Standards will have no material impact on the consolidated financial statements in the foreseeable future.</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Disclosures in Financial Statements</w:t>
      </w:r>
      <w:r>
        <w:rPr>
          <w:rFonts w:ascii="Times New Roman" w:cs="Times New Roman" w:eastAsia="Times New Roman" w:hAnsi="Times New Roman"/>
          <w:sz w:val="18"/>
          <w:szCs w:val="18"/>
          <w:b w:val="1"/>
          <w:bCs w:val="1"/>
          <w:color w:val="auto"/>
        </w:rPr>
        <w:t xml:space="preserve"> ("IFRS 18")</w:t>
      </w:r>
    </w:p>
    <w:p>
      <w:pPr>
        <w:spacing w:after="0" w:line="121"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8"/>
          <w:szCs w:val="18"/>
          <w:color w:val="auto"/>
        </w:rPr>
        <w:t>IFRS 18, which sets out requirements on presentation and disclosures in financial statements, will replace IAS 1 Presentation of Financial Statements ("IAS 1"). This new IFRS Accounting Standard, while carrying forward many of the requirements in IAS 1, introduces new requirements to present specified categories and defined subtotals in the consolidated statement of profit or loss; provide disclosures on management-defined performance measures in the notes to the financial statements and improve aggregation and disaggregation of information to be disclosed in the financial statements. In addition, some IAS 1 paragraphs have been moved to IAS 8 Accounting Policies, Changes in Accounting Estimates and Errors and IFRS 7 Financial Instruments: Disclosures. Minor amendments to IAS 7 Statement of Cash Flows and IAS 33 Earnings per Share are also made. IFRS 18 will be effective for annual periods beginning on or after January 1, 2027, with early application permitted.</w:t>
      </w:r>
    </w:p>
    <w:p>
      <w:pPr>
        <w:spacing w:after="0" w:line="81" w:lineRule="exact"/>
        <w:rPr>
          <w:sz w:val="20"/>
          <w:szCs w:val="20"/>
          <w:color w:val="auto"/>
        </w:rPr>
      </w:pPr>
    </w:p>
    <w:p>
      <w:pPr>
        <w:jc w:val="both"/>
        <w:ind w:left="420" w:right="20"/>
        <w:spacing w:after="0" w:line="266" w:lineRule="auto"/>
        <w:rPr>
          <w:sz w:val="20"/>
          <w:szCs w:val="20"/>
          <w:color w:val="auto"/>
        </w:rPr>
      </w:pPr>
      <w:r>
        <w:rPr>
          <w:rFonts w:ascii="Times New Roman" w:cs="Times New Roman" w:eastAsia="Times New Roman" w:hAnsi="Times New Roman"/>
          <w:sz w:val="18"/>
          <w:szCs w:val="18"/>
          <w:color w:val="auto"/>
        </w:rPr>
        <w:t>The application of the new standard is expected to affect the presentation of the consolidated statement of profit or loss and disclosures in the future financial statements. The director of the Company is in the process of assessing the detailed impact of IFRS 18 on the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of consolidated financial statements and material accounting policy information</w:t>
      </w:r>
    </w:p>
    <w:p>
      <w:pPr>
        <w:spacing w:after="0" w:line="117"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3.1</w:t>
      </w:r>
      <w:r>
        <w:rPr>
          <w:rFonts w:ascii="Times New Roman" w:cs="Times New Roman" w:eastAsia="Times New Roman" w:hAnsi="Times New Roman"/>
          <w:sz w:val="17"/>
          <w:szCs w:val="17"/>
          <w:b w:val="1"/>
          <w:bCs w:val="1"/>
          <w:i w:val="1"/>
          <w:iCs w:val="1"/>
          <w:color w:val="auto"/>
        </w:rPr>
        <w:t>Basic of preparation of consolidated financial statements</w:t>
      </w:r>
    </w:p>
    <w:p>
      <w:pPr>
        <w:spacing w:after="0" w:line="121"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IFRS Accounting Standards, which collective term includes all applicable individual International Financial Reporting Standards and Interpretations issued by the IASB.</w:t>
      </w:r>
    </w:p>
    <w:p>
      <w:pPr>
        <w:spacing w:after="0" w:line="54"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historical cost basis, except for certain financial assets, including financial assets measured at fair value through profit or loss and loans to customers that have been measured at fair value.</w:t>
      </w:r>
    </w:p>
    <w:p>
      <w:pPr>
        <w:spacing w:after="0" w:line="54"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Company became a significant equity method investee of Prenetics Global Limited on July 20, 2023 given the Company met certain significance thresholds of Regulation S-X 3-09, which required separate financial statements of the Company to be included in Prenetics Global Limited's annual report according to Reg S-X 3-09.</w:t>
      </w:r>
    </w:p>
    <w:p>
      <w:pPr>
        <w:spacing w:after="0" w:line="6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on a going concern basis.</w:t>
      </w:r>
    </w:p>
    <w:p>
      <w:pPr>
        <w:spacing w:after="0" w:line="11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8"/>
          <w:szCs w:val="18"/>
          <w:b w:val="1"/>
          <w:bCs w:val="1"/>
          <w:i w:val="1"/>
          <w:iCs w:val="1"/>
          <w:color w:val="auto"/>
        </w:rPr>
        <w:t>Material accounting policy information</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Basis of consolidation</w:t>
      </w:r>
    </w:p>
    <w:p>
      <w:pPr>
        <w:spacing w:after="0" w:line="117"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incorporate the financial statements of the Company, entities controlled by the Company and its subsidiaries and entities under contractual arrangements for which the Company is the ultimate primary beneficiary. Control is achieved when the Company:</w:t>
      </w:r>
    </w:p>
    <w:p>
      <w:pPr>
        <w:spacing w:after="0" w:line="68" w:lineRule="exact"/>
        <w:rPr>
          <w:sz w:val="20"/>
          <w:szCs w:val="20"/>
          <w:color w:val="auto"/>
        </w:rPr>
      </w:pPr>
    </w:p>
    <w:p>
      <w:pPr>
        <w:ind w:left="1300" w:hanging="23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117"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The Group reassesses whether or not it controls an investee if facts and circumstances indicate that there are changes to one or more of the three elements of control listed above.</w:t>
      </w:r>
    </w:p>
    <w:p>
      <w:pPr>
        <w:spacing w:after="0" w:line="54"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Consolidation of a subsidiary begins when the Group obtains control over the subsidiary and ceases when the Group loses control of the subsidiary. Specifically, income and expenses of a subsidiary acquired or disposed of during the period are included in the consolidated statement of profit or loss and other comprehensive income from the date the Group gains control until the date when the Group ceases to control the subsidiary.</w:t>
      </w:r>
    </w:p>
    <w:p>
      <w:pPr>
        <w:spacing w:after="0" w:line="72"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When necessary, adjustments are made to the financial statements of subsidiaries to bring their accounting policies in line with the Group's accounting policies.</w:t>
      </w:r>
    </w:p>
    <w:p>
      <w:pPr>
        <w:spacing w:after="0" w:line="54" w:lineRule="exact"/>
        <w:rPr>
          <w:sz w:val="20"/>
          <w:szCs w:val="20"/>
          <w:color w:val="auto"/>
        </w:rPr>
      </w:pPr>
    </w:p>
    <w:p>
      <w:pPr>
        <w:jc w:val="both"/>
        <w:ind w:left="1060" w:right="20"/>
        <w:spacing w:after="0" w:line="282"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members of the Group including its subsidiaries and entities under contractual arrangements are eliminated in full on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Basis of preparation of consolidated financial statements and material accounting policy information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Material accounting policy information - continued</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p>
    <w:p>
      <w:pPr>
        <w:spacing w:after="0" w:line="117"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The Group recognizes revenue when (or as) a performance obligation is satisfied, i.e. when "control" of the goods or services underlying the particular performance obligation is transferred to the customer.</w:t>
      </w:r>
    </w:p>
    <w:p>
      <w:pPr>
        <w:spacing w:after="0" w:line="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 performance obligation represents a good or service that is distinct or a series of distinct goods or services that are substantially the same.</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Revenue is recognized at a point in time when the customer obtains control of the distinct good or service.</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Definition of a lease</w:t>
      </w:r>
    </w:p>
    <w:p>
      <w:pPr>
        <w:spacing w:after="0" w:line="121"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A contract is, or contains, a lease if the contract conveys the right to control the use of an identified asset for a period of time in exchange for consideration.</w:t>
      </w:r>
    </w:p>
    <w:p>
      <w:pPr>
        <w:spacing w:after="0" w:line="54"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 xml:space="preserve">For contracts entered into or modified or arising from business combinations on or after the date of initial application, the Group assesses whether a contract is or contains a lease based on the definition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at inception, modification date or acquisition date, as appropriate. Such contract will not be reassessed unless the terms and conditions of the contract are subsequently changed.</w:t>
      </w:r>
    </w:p>
    <w:p>
      <w:pPr>
        <w:spacing w:after="0" w:line="6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The Group as a lessee</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Allocation of consideration to components of a contract</w:t>
      </w:r>
    </w:p>
    <w:p>
      <w:pPr>
        <w:spacing w:after="0" w:line="119"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For a contract that contains a lease component and one or more additional lease or non-lease components, the Group allocates the consideration in the contract to each lease component on the basis of the relative stand-alone price of the lease component and the aggregate stand-alone price of the non-lease components.</w:t>
      </w:r>
    </w:p>
    <w:p>
      <w:pPr>
        <w:spacing w:after="0" w:line="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Short-term leases</w:t>
      </w:r>
    </w:p>
    <w:p>
      <w:pPr>
        <w:spacing w:after="0" w:line="119"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Group applies the short-term lease recognition exemption to leases properties that have a lease term of 12 months or less from the commencement date and do not contain a purchase option. Lease payments on short-term leases are recognized as expense on a straight-line basis or another systematic basis over the lease term.</w:t>
      </w:r>
    </w:p>
    <w:p>
      <w:pPr>
        <w:spacing w:after="0" w:line="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Right-of-use assets</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cost of right-of-use assets includes:</w:t>
      </w:r>
    </w:p>
    <w:p>
      <w:pPr>
        <w:spacing w:after="0" w:line="117" w:lineRule="exact"/>
        <w:rPr>
          <w:sz w:val="20"/>
          <w:szCs w:val="20"/>
          <w:color w:val="auto"/>
        </w:rPr>
      </w:pPr>
    </w:p>
    <w:p>
      <w:pPr>
        <w:ind w:left="1380" w:hanging="319"/>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initial measurement of the lease liabilities;</w:t>
      </w:r>
    </w:p>
    <w:p>
      <w:pPr>
        <w:spacing w:after="0" w:line="117"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payments made at or before the commencement date, less any lease incentives received;</w:t>
      </w:r>
    </w:p>
    <w:p>
      <w:pPr>
        <w:spacing w:after="0" w:line="117"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direct costs incurred by the Group; and</w:t>
      </w:r>
    </w:p>
    <w:p>
      <w:pPr>
        <w:spacing w:after="0" w:line="117" w:lineRule="exact"/>
        <w:rPr>
          <w:rFonts w:ascii="Times New Roman" w:cs="Times New Roman" w:eastAsia="Times New Roman" w:hAnsi="Times New Roman"/>
          <w:sz w:val="18"/>
          <w:szCs w:val="18"/>
          <w:color w:val="auto"/>
        </w:rPr>
      </w:pPr>
    </w:p>
    <w:p>
      <w:pPr>
        <w:jc w:val="both"/>
        <w:ind w:left="1380" w:hanging="319"/>
        <w:spacing w:after="0" w:line="266" w:lineRule="auto"/>
        <w:tabs>
          <w:tab w:leader="none" w:pos="1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costs to be incurred by the Group in dismantling and removing the underlying assets, restoring the site on which it is located or restoring the underlying asset to the condition required by the terms and conditions of the lease, unless those costs are incurred to produce inventories.</w:t>
      </w:r>
    </w:p>
    <w:p>
      <w:pPr>
        <w:spacing w:after="0" w:line="6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Right-of-use assets are measured at cost, less any accumulated depreciation and impairment losses.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Basis of preparation of consolidated financial statements and material accounting policy information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Material accounting policy information - continued</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 continued</w:t>
      </w:r>
    </w:p>
    <w:p>
      <w:pPr>
        <w:spacing w:after="0" w:line="1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 xml:space="preserve">The Group as a lessee </w:t>
      </w:r>
      <w:r>
        <w:rPr>
          <w:rFonts w:ascii="Times New Roman" w:cs="Times New Roman" w:eastAsia="Times New Roman" w:hAnsi="Times New Roman"/>
          <w:sz w:val="18"/>
          <w:szCs w:val="18"/>
          <w:color w:val="auto"/>
        </w:rPr>
        <w:t>- continued</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 xml:space="preserve">Right-of-use assets </w:t>
      </w:r>
      <w:r>
        <w:rPr>
          <w:rFonts w:ascii="Times New Roman" w:cs="Times New Roman" w:eastAsia="Times New Roman" w:hAnsi="Times New Roman"/>
          <w:sz w:val="18"/>
          <w:szCs w:val="18"/>
          <w:color w:val="auto"/>
        </w:rPr>
        <w:t>- continued</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Right-of-use assets are depreciated on a straight-line basis over the shorter of its estimated useful life and the lease term.</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Group presents right-of-use assets as a separate line item on the consolidated statement of financial position.</w:t>
      </w:r>
    </w:p>
    <w:p>
      <w:pPr>
        <w:spacing w:after="0" w:line="11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Refundable rental deposits</w:t>
      </w:r>
    </w:p>
    <w:p>
      <w:pPr>
        <w:spacing w:after="0" w:line="119" w:lineRule="exact"/>
        <w:rPr>
          <w:sz w:val="20"/>
          <w:szCs w:val="20"/>
          <w:color w:val="auto"/>
        </w:rPr>
      </w:pPr>
    </w:p>
    <w:p>
      <w:pPr>
        <w:jc w:val="both"/>
        <w:ind w:left="1060" w:right="20"/>
        <w:spacing w:after="0" w:line="282" w:lineRule="auto"/>
        <w:rPr>
          <w:sz w:val="20"/>
          <w:szCs w:val="20"/>
          <w:color w:val="auto"/>
        </w:rPr>
      </w:pPr>
      <w:r>
        <w:rPr>
          <w:rFonts w:ascii="Times New Roman" w:cs="Times New Roman" w:eastAsia="Times New Roman" w:hAnsi="Times New Roman"/>
          <w:sz w:val="18"/>
          <w:szCs w:val="18"/>
          <w:color w:val="auto"/>
        </w:rPr>
        <w:t>Refundable rental deposits paid are accounted under IFRS 9 Financial Instruments and initially measured at fair value. Adjustments to fair value at initial recognition are considered as additional lease payments and included in the cost of right-of-use assets.</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Lease liabilities</w:t>
      </w:r>
    </w:p>
    <w:p>
      <w:pPr>
        <w:spacing w:after="0" w:line="119"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At the commencement date of a lease, the Group recognizes and measures the lease liabilities at the present value of lease payments that are unpaid at that date. In calculating the present value of lease payments, the Group uses the incremental borrowing rate at the lease commencement date if the interest rate implicit in the lease is not readily determinable.</w:t>
      </w:r>
    </w:p>
    <w:p>
      <w:pPr>
        <w:spacing w:after="0" w:line="6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lease payments include fixed payments (including in-substance fixed payments) less any lease incentives receivable.</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After the commencement date, lease liabilities are adjusted by interest accretion and lease payments.</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Cash and cash equivalents presented on the consolidated statement of financial position include:</w:t>
      </w:r>
    </w:p>
    <w:p>
      <w:pPr>
        <w:spacing w:after="0" w:line="117" w:lineRule="exact"/>
        <w:rPr>
          <w:sz w:val="20"/>
          <w:szCs w:val="20"/>
          <w:color w:val="auto"/>
        </w:rPr>
      </w:pPr>
    </w:p>
    <w:p>
      <w:pPr>
        <w:ind w:left="1380" w:hanging="319"/>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which comprises of demand deposits; and</w:t>
      </w:r>
    </w:p>
    <w:p>
      <w:pPr>
        <w:spacing w:after="0" w:line="117" w:lineRule="exact"/>
        <w:rPr>
          <w:rFonts w:ascii="Times New Roman" w:cs="Times New Roman" w:eastAsia="Times New Roman" w:hAnsi="Times New Roman"/>
          <w:sz w:val="18"/>
          <w:szCs w:val="18"/>
          <w:color w:val="auto"/>
        </w:rPr>
      </w:pPr>
    </w:p>
    <w:p>
      <w:pPr>
        <w:jc w:val="both"/>
        <w:ind w:left="1380" w:hanging="319"/>
        <w:spacing w:after="0" w:line="266" w:lineRule="auto"/>
        <w:tabs>
          <w:tab w:leader="none" w:pos="13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which comprises of short-term (generally with original maturity of three months or less), highly liquid investments that are readily convertible to a known amount of cash and which are subject to an insignificant risk of changes in value. Cash equivalents are held for the purpose of meeting short-term cash commitments rather than for investment or other purposes.</w:t>
      </w:r>
    </w:p>
    <w:p>
      <w:pPr>
        <w:spacing w:after="0" w:line="68" w:lineRule="exact"/>
        <w:rPr>
          <w:sz w:val="20"/>
          <w:szCs w:val="20"/>
          <w:color w:val="auto"/>
        </w:rPr>
      </w:pPr>
    </w:p>
    <w:p>
      <w:pPr>
        <w:ind w:left="1060" w:right="900"/>
        <w:spacing w:after="0" w:line="375" w:lineRule="auto"/>
        <w:rPr>
          <w:sz w:val="20"/>
          <w:szCs w:val="20"/>
          <w:color w:val="auto"/>
        </w:rPr>
      </w:pPr>
      <w:r>
        <w:rPr>
          <w:rFonts w:ascii="Times New Roman" w:cs="Times New Roman" w:eastAsia="Times New Roman" w:hAnsi="Times New Roman"/>
          <w:sz w:val="18"/>
          <w:szCs w:val="18"/>
          <w:color w:val="auto"/>
        </w:rPr>
        <w:t xml:space="preserve">For the purposes of the statement of cash flows, cash and cash equivalents consist of cash and cash equivalents as defined above. </w:t>
      </w:r>
      <w:r>
        <w:rPr>
          <w:rFonts w:ascii="Times New Roman" w:cs="Times New Roman" w:eastAsia="Times New Roman" w:hAnsi="Times New Roman"/>
          <w:sz w:val="18"/>
          <w:szCs w:val="18"/>
          <w:u w:val="single" w:color="auto"/>
          <w:color w:val="auto"/>
        </w:rPr>
        <w:t>Foreign currencies</w:t>
      </w:r>
    </w:p>
    <w:p>
      <w:pPr>
        <w:spacing w:after="0" w:line="1"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of each individual group entity, transactions in currencies other than the functional currency of the Company (foreign currencies) are recognized at the rates of exchange prevailing on the dates of the transactions. At the end of the reporting period, monetary items denominated in foreign currencies are retranslated at the rates prevailing at that date. Non-monetary items that are measured in terms of historical cost in a foreign currency are not retranslated.</w:t>
      </w:r>
    </w:p>
    <w:p>
      <w:pPr>
        <w:spacing w:after="0" w:line="72" w:lineRule="exact"/>
        <w:rPr>
          <w:sz w:val="20"/>
          <w:szCs w:val="20"/>
          <w:color w:val="auto"/>
        </w:rPr>
      </w:pPr>
    </w:p>
    <w:p>
      <w:pPr>
        <w:jc w:val="both"/>
        <w:ind w:left="1060" w:right="20"/>
        <w:spacing w:after="0" w:line="282" w:lineRule="auto"/>
        <w:rPr>
          <w:sz w:val="20"/>
          <w:szCs w:val="20"/>
          <w:color w:val="auto"/>
        </w:rPr>
      </w:pPr>
      <w:r>
        <w:rPr>
          <w:rFonts w:ascii="Times New Roman" w:cs="Times New Roman" w:eastAsia="Times New Roman" w:hAnsi="Times New Roman"/>
          <w:sz w:val="18"/>
          <w:szCs w:val="18"/>
          <w:color w:val="auto"/>
        </w:rPr>
        <w:t>Exchange differences arising on settlement of monetary items, and on the retranslation of monetary items are recognized in profit or loss in the period in which they arise.</w:t>
      </w:r>
    </w:p>
    <w:p>
      <w:pPr>
        <w:spacing w:after="0" w:line="54" w:lineRule="exact"/>
        <w:rPr>
          <w:sz w:val="20"/>
          <w:szCs w:val="20"/>
          <w:color w:val="auto"/>
        </w:rPr>
      </w:pPr>
    </w:p>
    <w:p>
      <w:pPr>
        <w:jc w:val="both"/>
        <w:ind w:left="1060"/>
        <w:spacing w:after="0" w:line="258" w:lineRule="auto"/>
        <w:rPr>
          <w:sz w:val="20"/>
          <w:szCs w:val="20"/>
          <w:color w:val="auto"/>
        </w:rPr>
      </w:pPr>
      <w:r>
        <w:rPr>
          <w:rFonts w:ascii="Times New Roman" w:cs="Times New Roman" w:eastAsia="Times New Roman" w:hAnsi="Times New Roman"/>
          <w:sz w:val="18"/>
          <w:szCs w:val="18"/>
          <w:color w:val="auto"/>
        </w:rPr>
        <w:t>For the purposes of presenting the consolidated financial statements, the assets and liabilities of the Group's operations are translated into the presentation currency of the Group (i.e. HK$) using exchange rates prevailing at the end of each reporting period. Income and expenses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equity under the heading of translation reserve.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Basis of preparation of consolidated financial statements and material accounting policy information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Material accounting policy information - continued</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Employee benefits</w:t>
      </w:r>
    </w:p>
    <w:p>
      <w:pPr>
        <w:spacing w:after="0" w:line="1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Short-term employee benefits</w:t>
      </w:r>
    </w:p>
    <w:p>
      <w:pPr>
        <w:spacing w:after="0" w:line="121"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Short-term employee benefits are recognized at the undiscounted amount of the benefits expected to be paid as and when employees rendered the services. All short-term employee benefits are recognized as an expense unless another IFRS Accounting Standards requires or permits the inclusion of the benefit in the cost of an asset.</w:t>
      </w:r>
    </w:p>
    <w:p>
      <w:pPr>
        <w:spacing w:after="0" w:line="68" w:lineRule="exact"/>
        <w:rPr>
          <w:sz w:val="20"/>
          <w:szCs w:val="20"/>
          <w:color w:val="auto"/>
        </w:rPr>
      </w:pPr>
    </w:p>
    <w:p>
      <w:pPr>
        <w:ind w:left="1060" w:right="840"/>
        <w:spacing w:after="0" w:line="375" w:lineRule="auto"/>
        <w:rPr>
          <w:sz w:val="20"/>
          <w:szCs w:val="20"/>
          <w:color w:val="auto"/>
        </w:rPr>
      </w:pPr>
      <w:r>
        <w:rPr>
          <w:rFonts w:ascii="Times New Roman" w:cs="Times New Roman" w:eastAsia="Times New Roman" w:hAnsi="Times New Roman"/>
          <w:sz w:val="18"/>
          <w:szCs w:val="18"/>
          <w:color w:val="auto"/>
        </w:rPr>
        <w:t xml:space="preserve">A liability is recognized for benefits accruing to employees (such as wages and salaries) after deducting any amount already paid. </w:t>
      </w:r>
      <w:r>
        <w:rPr>
          <w:rFonts w:ascii="Times New Roman" w:cs="Times New Roman" w:eastAsia="Times New Roman" w:hAnsi="Times New Roman"/>
          <w:sz w:val="18"/>
          <w:szCs w:val="18"/>
          <w:b w:val="1"/>
          <w:bCs w:val="1"/>
          <w:color w:val="auto"/>
        </w:rPr>
        <w:t>Retirement benefit costs</w:t>
      </w:r>
    </w:p>
    <w:p>
      <w:pPr>
        <w:spacing w:after="0" w:line="1"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Payments to the Mandatory Provident Fund Scheme are recognized as an expense when employees have rendered service entitling them to the contributions.</w:t>
      </w:r>
    </w:p>
    <w:p>
      <w:pPr>
        <w:spacing w:after="0" w:line="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Taxation</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Income tax expense represents the sum of the tax currently payable.</w:t>
      </w:r>
    </w:p>
    <w:p>
      <w:pPr>
        <w:spacing w:after="0" w:line="117"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tax currently payable is based on taxable profit for the period. Taxable profit differs from loss before tax because of income or expense that are taxable or deductible in other years and items that are never taxable or deductible. The Group's liability for current tax are calculated using tax rates that have been enacted or substantively enacted by the end of the reporting period.</w:t>
      </w:r>
    </w:p>
    <w:p>
      <w:pPr>
        <w:spacing w:after="0" w:line="68"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For the purposes of measuring deferred tax for leasing transactions in which the Group recognizes the right-of-use assets and the related lease liabilities, the Group first determines whether the tax deductions are attributable to the right-of-use assets or the lease liabilities.</w:t>
      </w:r>
    </w:p>
    <w:p>
      <w:pPr>
        <w:spacing w:after="0" w:line="52" w:lineRule="exact"/>
        <w:rPr>
          <w:sz w:val="20"/>
          <w:szCs w:val="20"/>
          <w:color w:val="auto"/>
        </w:rPr>
      </w:pPr>
    </w:p>
    <w:p>
      <w:pPr>
        <w:jc w:val="both"/>
        <w:ind w:left="1060"/>
        <w:spacing w:after="0" w:line="258" w:lineRule="auto"/>
        <w:rPr>
          <w:sz w:val="20"/>
          <w:szCs w:val="20"/>
          <w:color w:val="auto"/>
        </w:rPr>
      </w:pPr>
      <w:r>
        <w:rPr>
          <w:rFonts w:ascii="Times New Roman" w:cs="Times New Roman" w:eastAsia="Times New Roman" w:hAnsi="Times New Roman"/>
          <w:sz w:val="18"/>
          <w:szCs w:val="18"/>
          <w:color w:val="auto"/>
        </w:rPr>
        <w:t xml:space="preserve">For leasing transactions in which the tax deductions are attributable to the lease liabilities, the Group applies IAS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requirements to right-of-use assets and lease liabilities separately. Temporary differences on initial recognition of the relevant right-of-use assets and lease liabilities are not recognized due to application of the initial recognition exemption. Temporary differences arising from subsequent revision to the carrying amounts of right-of-use assets and lease liabilities, resulting from remeasurement of lease liabilities and lease modifications, that are not subject to initial recognition exemption are recognized on the date of remeasurement or modification.</w:t>
      </w:r>
    </w:p>
    <w:p>
      <w:pPr>
        <w:spacing w:after="0" w:line="77"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offset when there is a legally enforceable right to set off current tax assets against current tax liabilities and when they relate to income taxes levied to the same taxable entity by the same taxation authority.</w:t>
      </w:r>
    </w:p>
    <w:p>
      <w:pPr>
        <w:spacing w:after="0" w:line="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Current tax is recognized in profit or loss.</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1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Intangible assets acquired separately</w:t>
      </w:r>
    </w:p>
    <w:p>
      <w:pPr>
        <w:spacing w:after="0" w:line="121"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that are acquired separately are carried at costs less accumulated amortization and any accumulated impairment losses. Amortization for intangible assets with finite useful lives is recognized on a straight-line basis over their estimated useful lives. The estimated useful life and amortization method are reviewed at the end of each reporting period, with the effect of any changes in estimate being accounted for on a prospective basis.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Basis of preparation of consolidated financial statements and material accounting policy information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Material accounting policy information - continued</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Property, plant and equipment</w:t>
      </w:r>
    </w:p>
    <w:p>
      <w:pPr>
        <w:spacing w:after="0" w:line="117"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tangible assets that are held for use in the production or supply of goods or services, or for administrative purposes. Property, plant and equipment are stated in the consolidated statement of financial position at cost less subsequent accumulated depreciation and subsequent accumulated impairment losses, if any.</w:t>
      </w:r>
    </w:p>
    <w:p>
      <w:pPr>
        <w:spacing w:after="0" w:line="68"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Depreciation is recognized so as to write off the cost of assets less their residual values over their estimated useful lives, using the straight-line method. The estimated useful lives, residual values and depreciation method are reviewed at the end of each reporting period, with the effect of any changes in estimate accounted for on a prospective basis.</w:t>
      </w:r>
    </w:p>
    <w:p>
      <w:pPr>
        <w:spacing w:after="0" w:line="68"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An item of property, plant and equipment is derecognized upon disposal or when no future economic benefits are expected to arise from the continued use of the asset. Any gain or loss arising on the disposal or retirement of an item of property, plant and equipment is determined as the difference between the sales proceeds and the carrying amount of the asset and is recognized in profit or loss.</w:t>
      </w:r>
    </w:p>
    <w:p>
      <w:pPr>
        <w:spacing w:after="0" w:line="6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Impairment on property, plant and equipment, intangible assets and right-of-use assets</w:t>
      </w:r>
    </w:p>
    <w:p>
      <w:pPr>
        <w:spacing w:after="0" w:line="117"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At the end of the reporting period, the Group reviews the carrying amounts of its property, plant and equipment, intangible assets and right-of-use assets to determine whether there is any indication that those assets have suffered an impairment loss. If any such indication exists, the recoverable amount of the relevant asset is estimated in order to determine the extent of the impairment loss.</w:t>
      </w:r>
    </w:p>
    <w:p>
      <w:pPr>
        <w:spacing w:after="0" w:line="68"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recoverable amount of property, plant and equipment, intangible assets and right-of-use assets is estimated individually. When it is not possible to estimate the recoverable amount individually, the Group estimates the recoverable amount of the cash-generating unit to which the asset belongs.</w:t>
      </w:r>
    </w:p>
    <w:p>
      <w:pPr>
        <w:spacing w:after="0" w:line="68"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In testing a cash-generating unit for impairment, corporate assets are allocated to the relevant cash-generating units, when a reasonable and consistent basis of allocation can be established, or otherwise they are allocated to the smallest group of cash-generating units for which a reasonable and consistent allocation basis can be established.</w:t>
      </w:r>
    </w:p>
    <w:p>
      <w:pPr>
        <w:spacing w:after="0" w:line="68"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Recoverable amount is the higher of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spacing w:after="0" w:line="68"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If the recoverable amount of an asset is estimated to be less than its carrying amount, the carrying amount of the asset (or a cash-generating unit) is reduced to its recoverable amount. An impairment loss is recognized immediately in profit or loss.</w:t>
      </w:r>
    </w:p>
    <w:p>
      <w:pPr>
        <w:spacing w:after="0" w:line="54" w:lineRule="exact"/>
        <w:rPr>
          <w:sz w:val="20"/>
          <w:szCs w:val="20"/>
          <w:color w:val="auto"/>
        </w:rPr>
      </w:pPr>
    </w:p>
    <w:p>
      <w:pPr>
        <w:jc w:val="both"/>
        <w:ind w:left="1060"/>
        <w:spacing w:after="0" w:line="253" w:lineRule="auto"/>
        <w:rPr>
          <w:sz w:val="20"/>
          <w:szCs w:val="20"/>
          <w:color w:val="auto"/>
        </w:rPr>
      </w:pPr>
      <w:r>
        <w:rPr>
          <w:rFonts w:ascii="Times New Roman" w:cs="Times New Roman" w:eastAsia="Times New Roman" w:hAnsi="Times New Roman"/>
          <w:sz w:val="18"/>
          <w:szCs w:val="18"/>
          <w:color w:val="auto"/>
        </w:rPr>
        <w:t>Where an impairment loss subsequently reverses, the carrying amount of the asset (or a cash-generating unit) is increased to the revised estimate of its recoverable amount, but so that the increased carrying amount does not exceed the carrying amount that would have been determined had no impairment loss been recognized for the asset (or a cash-generating unit) in prior years.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cash-generating units, with the recoverable amount of the group of cash-generating units. In allocating the impairment loss, the impairment loss is allocated first to reduce the carrying amount of any goodwill (if applicable) and then to the other assets on a pro-rata basis based on the carrying amount of each asset in the unit or the group of cash-generating units.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the group of cash-generating units. A reversal of an impairment loss is recognized immediately in profit or loss.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Basis of preparation of consolidated financial statements and material accounting policy information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Material accounting policy information - continued</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17"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Inventories, which represent merchandise held for sale, are stated at the lower of cost and net realizable value. The cost of merchandise is calculated using the weighted average method. Net realizable value represents the estimated selling price for inventories less all estimated costs of completion and costs necessary to make the sale. Costs necessary to make the sale include incremental costs directly attributable to the sale and non-incremental costs which the Group must incur to make the sale.</w:t>
      </w:r>
    </w:p>
    <w:p>
      <w:pPr>
        <w:spacing w:after="0" w:line="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Financial instruments</w:t>
      </w:r>
    </w:p>
    <w:p>
      <w:pPr>
        <w:spacing w:after="0" w:line="117"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Financial assets and financial liabilities are recognized when a group entity becomes a party to the contractual provisions of the instrument. All regular way purchases or sales of financial assets are recognized and derecognized on a trade date basis. Regular way purchases or sales are purchases or sales are purchases or sales of financial assets that require delivery of assets within the time frame established by regulation or convention in the market place.</w:t>
      </w:r>
    </w:p>
    <w:p>
      <w:pPr>
        <w:spacing w:after="0" w:line="72"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initially measured at fair value. Transaction costs that are directly attributable to the acquisition or issue of financial assets and financial liabilities are added to or deducted from the fair value of the financial assets or financial liabilities, as appropriate, on initial recognition.</w:t>
      </w:r>
    </w:p>
    <w:p>
      <w:pPr>
        <w:spacing w:after="0" w:line="68" w:lineRule="exact"/>
        <w:rPr>
          <w:sz w:val="20"/>
          <w:szCs w:val="20"/>
          <w:color w:val="auto"/>
        </w:rPr>
      </w:pPr>
    </w:p>
    <w:p>
      <w:pPr>
        <w:jc w:val="both"/>
        <w:ind w:left="1060"/>
        <w:spacing w:after="0" w:line="258" w:lineRule="auto"/>
        <w:rPr>
          <w:sz w:val="20"/>
          <w:szCs w:val="20"/>
          <w:color w:val="auto"/>
        </w:rPr>
      </w:pPr>
      <w:r>
        <w:rPr>
          <w:rFonts w:ascii="Times New Roman" w:cs="Times New Roman" w:eastAsia="Times New Roman" w:hAnsi="Times New Roman"/>
          <w:sz w:val="18"/>
          <w:szCs w:val="18"/>
          <w:color w:val="auto"/>
        </w:rPr>
        <w:t>The effective interest method is a method of calculating the amortized cost of a financial asset or financial liability and of allocating interest income and interest expense over the relevant period. The effective interest rate is the rate that exactly discounts estimated future cash receipts and payments (including all fees and points paid or received that form an integral part of the effective interest rate, transaction costs and other premiums or discounts) through the expected life of the financial asset or financial liability, or, where appropriate, a shorter period, to the net carrying amount on initial recognition.</w:t>
      </w:r>
    </w:p>
    <w:p>
      <w:pPr>
        <w:spacing w:after="0" w:line="7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Classification and subsequent measurement of financial assets</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Financial assets that meet the following conditions are subsequently measured at amortized cost:</w:t>
      </w:r>
    </w:p>
    <w:p>
      <w:pPr>
        <w:spacing w:after="0" w:line="117" w:lineRule="exact"/>
        <w:rPr>
          <w:sz w:val="20"/>
          <w:szCs w:val="20"/>
          <w:color w:val="auto"/>
        </w:rPr>
      </w:pPr>
    </w:p>
    <w:p>
      <w:pPr>
        <w:ind w:left="1300" w:hanging="239"/>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asset is held within a business model whose objective is to collect contractual cash flows; and</w:t>
      </w:r>
    </w:p>
    <w:p>
      <w:pPr>
        <w:spacing w:after="0" w:line="117" w:lineRule="exact"/>
        <w:rPr>
          <w:rFonts w:ascii="Times New Roman" w:cs="Times New Roman" w:eastAsia="Times New Roman" w:hAnsi="Times New Roman"/>
          <w:sz w:val="18"/>
          <w:szCs w:val="18"/>
          <w:color w:val="auto"/>
        </w:rPr>
      </w:pPr>
    </w:p>
    <w:p>
      <w:pPr>
        <w:ind w:left="1380" w:right="20" w:hanging="319"/>
        <w:spacing w:after="0" w:line="282" w:lineRule="auto"/>
        <w:tabs>
          <w:tab w:leader="none" w:pos="13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give rise on specified dates to cash flows that are solely payments of principal and interest on the principal amount outstanding.</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Amortized cost and interest income</w:t>
      </w:r>
    </w:p>
    <w:p>
      <w:pPr>
        <w:spacing w:after="0" w:line="119"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Interest income is recognized using the effective interest method for financial assets measured subsequently at amortized cost. Interest income is calculated by applying the effective interest rate to the gross carrying amount of a financial asset.</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119"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In addition, the Group assesses whether there is indication that corporate assets may be impaired. If such indication exists, corporate assets are also allocated to individual cash-generating units, when a reasonable and consistent basis of allocation can be identified, or otherwise they are allocated to the smallest group of cash-generating units for which a reasonable and consistent allocation basis can be identified.</w:t>
      </w:r>
    </w:p>
    <w:p>
      <w:pPr>
        <w:spacing w:after="0" w:line="68"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The Group performs impairment assessment under expected credit loss ("ECL") model on financial assets (including deposits and other receivables, amounts due from related companies, cash and cash equivalents and bank deposits with more than three months to maturity) which are subject to impairment under IFRS 9 Financial Instruments. The amount of ECL is updated at each reporting date to reflect changes in credit risk since initial recognition.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Basis of preparation of consolidated financial statements and material accounting policy information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Material accounting policy information - continued</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Financial instruments</w:t>
      </w:r>
      <w:r>
        <w:rPr>
          <w:rFonts w:ascii="Times New Roman" w:cs="Times New Roman" w:eastAsia="Times New Roman" w:hAnsi="Times New Roman"/>
          <w:sz w:val="18"/>
          <w:szCs w:val="18"/>
          <w:color w:val="auto"/>
        </w:rPr>
        <w:t xml:space="preserve"> - continued</w:t>
      </w:r>
    </w:p>
    <w:p>
      <w:pPr>
        <w:spacing w:after="0" w:line="1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 xml:space="preserve">Financial assets </w:t>
      </w:r>
      <w:r>
        <w:rPr>
          <w:rFonts w:ascii="Times New Roman" w:cs="Times New Roman" w:eastAsia="Times New Roman" w:hAnsi="Times New Roman"/>
          <w:sz w:val="18"/>
          <w:szCs w:val="18"/>
          <w:color w:val="auto"/>
        </w:rPr>
        <w:t>- continued</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 xml:space="preserve">Impairment of financial assets </w:t>
      </w:r>
      <w:r>
        <w:rPr>
          <w:rFonts w:ascii="Times New Roman" w:cs="Times New Roman" w:eastAsia="Times New Roman" w:hAnsi="Times New Roman"/>
          <w:sz w:val="18"/>
          <w:szCs w:val="18"/>
          <w:color w:val="auto"/>
        </w:rPr>
        <w:t>- continued</w:t>
      </w:r>
    </w:p>
    <w:p>
      <w:pPr>
        <w:spacing w:after="0" w:line="119" w:lineRule="exact"/>
        <w:rPr>
          <w:sz w:val="20"/>
          <w:szCs w:val="20"/>
          <w:color w:val="auto"/>
        </w:rPr>
      </w:pPr>
    </w:p>
    <w:p>
      <w:pPr>
        <w:jc w:val="both"/>
        <w:ind w:left="1060"/>
        <w:spacing w:after="0" w:line="258" w:lineRule="auto"/>
        <w:rPr>
          <w:sz w:val="20"/>
          <w:szCs w:val="20"/>
          <w:color w:val="auto"/>
        </w:rPr>
      </w:pPr>
      <w:r>
        <w:rPr>
          <w:rFonts w:ascii="Times New Roman" w:cs="Times New Roman" w:eastAsia="Times New Roman" w:hAnsi="Times New Roman"/>
          <w:sz w:val="18"/>
          <w:szCs w:val="18"/>
          <w:color w:val="auto"/>
        </w:rPr>
        <w:t>Lifetime ECL represents the ECL that will result from all possible default events over the expected life of the relevant instrument. In contrast, 12-month ECL ("12m ECL") represents the portion of lifetime ECL that is expected to result from default events that are possible within 12 months after the reporting date. Assessment are done based on the Group's historical credit loss experience, adjusted for factors that are specific to the debtors, general economic conditions and an assessment of both the current conditions at the reporting date as well as the forecast of future conditions.</w:t>
      </w:r>
    </w:p>
    <w:p>
      <w:pPr>
        <w:spacing w:after="0" w:line="75"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Group measures the loss allowance equal to 12m ECL, unless when there has been a significant increase in credit risk since initial recognition, the Group recognizes lifetime ECL. The assessment of whether lifetime ECL should be recognized is based on significant increases in the likelihood or risk of a default occurring since initial recognition.</w:t>
      </w:r>
    </w:p>
    <w:p>
      <w:pPr>
        <w:spacing w:after="0" w:line="68" w:lineRule="exact"/>
        <w:rPr>
          <w:sz w:val="20"/>
          <w:szCs w:val="20"/>
          <w:color w:val="auto"/>
        </w:rPr>
      </w:pPr>
    </w:p>
    <w:p>
      <w:pPr>
        <w:ind w:left="1380" w:hanging="319"/>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 in credit risk</w:t>
      </w:r>
    </w:p>
    <w:p>
      <w:pPr>
        <w:spacing w:after="0" w:line="117" w:lineRule="exact"/>
        <w:rPr>
          <w:rFonts w:ascii="Times New Roman" w:cs="Times New Roman" w:eastAsia="Times New Roman" w:hAnsi="Times New Roman"/>
          <w:sz w:val="18"/>
          <w:szCs w:val="18"/>
          <w:color w:val="auto"/>
        </w:rPr>
      </w:pPr>
    </w:p>
    <w:p>
      <w:pPr>
        <w:jc w:val="both"/>
        <w:ind w:left="1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assessing whether the credit risk has increased significantly since initial recognition, the Group compares the risk of a default occurring on the financial instrument as at the reporting date with the risk of a default occurring on the financial instrument as at the date of initial recognition. In making this assessment, the Group considers both quantitative and qualitative information that is reasonable and supportable, including historical experience and forward-looking information that is available without undue cost or effort.</w:t>
      </w:r>
    </w:p>
    <w:p>
      <w:pPr>
        <w:spacing w:after="0" w:line="71"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following information is taken into account when assessing whether credit risk has increased significantly:</w:t>
      </w:r>
    </w:p>
    <w:p>
      <w:pPr>
        <w:spacing w:after="0" w:line="117" w:lineRule="exact"/>
        <w:rPr>
          <w:rFonts w:ascii="Times New Roman" w:cs="Times New Roman" w:eastAsia="Times New Roman" w:hAnsi="Times New Roman"/>
          <w:sz w:val="18"/>
          <w:szCs w:val="18"/>
          <w:color w:val="auto"/>
        </w:rPr>
      </w:pPr>
    </w:p>
    <w:p>
      <w:pPr>
        <w:ind w:left="1700" w:hanging="315"/>
        <w:spacing w:after="0"/>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the financial instrument's external (if available) or internal credit rating;</w:t>
      </w:r>
    </w:p>
    <w:p>
      <w:pPr>
        <w:spacing w:after="0" w:line="117" w:lineRule="exact"/>
        <w:rPr>
          <w:rFonts w:ascii="Times New Roman" w:cs="Times New Roman" w:eastAsia="Times New Roman" w:hAnsi="Times New Roman"/>
          <w:sz w:val="18"/>
          <w:szCs w:val="18"/>
          <w:color w:val="auto"/>
        </w:rPr>
      </w:pPr>
    </w:p>
    <w:p>
      <w:pPr>
        <w:ind w:left="1700" w:hanging="315"/>
        <w:spacing w:after="0" w:line="282" w:lineRule="auto"/>
        <w:tabs>
          <w:tab w:leader="none" w:pos="16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deterioration in external market indicators of credit risk, e.g. a significant increase in the credit spread, the credit default swap prices for the debtor;</w:t>
      </w:r>
    </w:p>
    <w:p>
      <w:pPr>
        <w:spacing w:after="0" w:line="53" w:lineRule="exact"/>
        <w:rPr>
          <w:rFonts w:ascii="Times New Roman" w:cs="Times New Roman" w:eastAsia="Times New Roman" w:hAnsi="Times New Roman"/>
          <w:sz w:val="18"/>
          <w:szCs w:val="18"/>
          <w:color w:val="auto"/>
        </w:rPr>
      </w:pPr>
    </w:p>
    <w:p>
      <w:pPr>
        <w:ind w:left="1700" w:hanging="315"/>
        <w:spacing w:after="0" w:line="282" w:lineRule="auto"/>
        <w:tabs>
          <w:tab w:leader="none" w:pos="16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forecast adverse changes in business, financial or economic conditions that are expected to cause a significant decrease in the debtor's ability to meet its debt obligations;</w:t>
      </w:r>
    </w:p>
    <w:p>
      <w:pPr>
        <w:spacing w:after="0" w:line="53" w:lineRule="exact"/>
        <w:rPr>
          <w:rFonts w:ascii="Times New Roman" w:cs="Times New Roman" w:eastAsia="Times New Roman" w:hAnsi="Times New Roman"/>
          <w:sz w:val="18"/>
          <w:szCs w:val="18"/>
          <w:color w:val="auto"/>
        </w:rPr>
      </w:pPr>
    </w:p>
    <w:p>
      <w:pPr>
        <w:ind w:left="1700" w:hanging="315"/>
        <w:spacing w:after="0"/>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the operating results of the debtor;</w:t>
      </w:r>
    </w:p>
    <w:p>
      <w:pPr>
        <w:spacing w:after="0" w:line="117" w:lineRule="exact"/>
        <w:rPr>
          <w:rFonts w:ascii="Times New Roman" w:cs="Times New Roman" w:eastAsia="Times New Roman" w:hAnsi="Times New Roman"/>
          <w:sz w:val="18"/>
          <w:szCs w:val="18"/>
          <w:color w:val="auto"/>
        </w:rPr>
      </w:pPr>
    </w:p>
    <w:p>
      <w:pPr>
        <w:ind w:left="1700" w:hanging="315"/>
        <w:spacing w:after="0" w:line="282" w:lineRule="auto"/>
        <w:tabs>
          <w:tab w:leader="none" w:pos="16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adverse change in the regulatory, economic, or technological environment of the debtor that results in a significant decrease in the debtor's ability to meet its debt obligations.</w:t>
      </w:r>
    </w:p>
    <w:p>
      <w:pPr>
        <w:spacing w:after="0" w:line="54" w:lineRule="exact"/>
        <w:rPr>
          <w:sz w:val="20"/>
          <w:szCs w:val="20"/>
          <w:color w:val="auto"/>
        </w:rPr>
      </w:pPr>
    </w:p>
    <w:p>
      <w:pPr>
        <w:jc w:val="both"/>
        <w:ind w:left="1380"/>
        <w:spacing w:after="0" w:line="266" w:lineRule="auto"/>
        <w:rPr>
          <w:sz w:val="20"/>
          <w:szCs w:val="20"/>
          <w:color w:val="auto"/>
        </w:rPr>
      </w:pPr>
      <w:r>
        <w:rPr>
          <w:rFonts w:ascii="Times New Roman" w:cs="Times New Roman" w:eastAsia="Times New Roman" w:hAnsi="Times New Roman"/>
          <w:sz w:val="18"/>
          <w:szCs w:val="18"/>
          <w:color w:val="auto"/>
        </w:rPr>
        <w:t>Irrespective of the outcome of the above assessment, the Group presumes that the credit risk has increased significantly since initial recognition when contractual payments are more than 30 days past due, unless the Group has reasonable and supportable information that demonstrates otherwise.</w:t>
      </w:r>
    </w:p>
    <w:p>
      <w:pPr>
        <w:spacing w:after="0" w:line="68" w:lineRule="exact"/>
        <w:rPr>
          <w:sz w:val="20"/>
          <w:szCs w:val="20"/>
          <w:color w:val="auto"/>
        </w:rPr>
      </w:pPr>
    </w:p>
    <w:p>
      <w:pPr>
        <w:jc w:val="both"/>
        <w:ind w:left="1380"/>
        <w:spacing w:after="0" w:line="266" w:lineRule="auto"/>
        <w:rPr>
          <w:sz w:val="20"/>
          <w:szCs w:val="20"/>
          <w:color w:val="auto"/>
        </w:rPr>
      </w:pPr>
      <w:r>
        <w:rPr>
          <w:rFonts w:ascii="Times New Roman" w:cs="Times New Roman" w:eastAsia="Times New Roman" w:hAnsi="Times New Roman"/>
          <w:sz w:val="18"/>
          <w:szCs w:val="18"/>
          <w:color w:val="auto"/>
        </w:rPr>
        <w:t>The Group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past due.</w:t>
      </w:r>
    </w:p>
    <w:p>
      <w:pPr>
        <w:spacing w:after="0" w:line="68" w:lineRule="exact"/>
        <w:rPr>
          <w:sz w:val="20"/>
          <w:szCs w:val="20"/>
          <w:color w:val="auto"/>
        </w:rPr>
      </w:pPr>
    </w:p>
    <w:p>
      <w:pPr>
        <w:ind w:left="1380" w:hanging="319"/>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default</w:t>
      </w:r>
    </w:p>
    <w:p>
      <w:pPr>
        <w:spacing w:after="0" w:line="117" w:lineRule="exact"/>
        <w:rPr>
          <w:rFonts w:ascii="Times New Roman" w:cs="Times New Roman" w:eastAsia="Times New Roman" w:hAnsi="Times New Roman"/>
          <w:sz w:val="18"/>
          <w:szCs w:val="18"/>
          <w:color w:val="auto"/>
        </w:rPr>
      </w:pPr>
    </w:p>
    <w:p>
      <w:pPr>
        <w:jc w:val="both"/>
        <w:ind w:left="1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internal credit risk management, the Group considers an event of default occurs when information developed internally or obtained from external sources indicates that the debtor is unlikely to pay its creditors, including the Group, in full (without taking into account any collaterals held by the Group).</w:t>
      </w:r>
    </w:p>
    <w:p>
      <w:pPr>
        <w:spacing w:after="0" w:line="67" w:lineRule="exact"/>
        <w:rPr>
          <w:rFonts w:ascii="Times New Roman" w:cs="Times New Roman" w:eastAsia="Times New Roman" w:hAnsi="Times New Roman"/>
          <w:sz w:val="18"/>
          <w:szCs w:val="18"/>
          <w:color w:val="auto"/>
        </w:rPr>
      </w:pPr>
    </w:p>
    <w:p>
      <w:pPr>
        <w:ind w:left="1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the above, the Group considers that default has occurred when a financial asset is more than 90 days past due unless the Group has reasonable and supportable information to demonstrate that a more lagging default criterion is more appropriate.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Basis of preparation of consolidated financial statements and material accounting policy information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Material accounting policy information - continued</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 xml:space="preserve">Impairment of financial assets </w:t>
      </w:r>
      <w:r>
        <w:rPr>
          <w:rFonts w:ascii="Times New Roman" w:cs="Times New Roman" w:eastAsia="Times New Roman" w:hAnsi="Times New Roman"/>
          <w:sz w:val="18"/>
          <w:szCs w:val="18"/>
          <w:color w:val="auto"/>
        </w:rPr>
        <w:t>- continued</w:t>
      </w:r>
    </w:p>
    <w:p>
      <w:pPr>
        <w:spacing w:after="0" w:line="119" w:lineRule="exact"/>
        <w:rPr>
          <w:sz w:val="20"/>
          <w:szCs w:val="20"/>
          <w:color w:val="auto"/>
        </w:rPr>
      </w:pPr>
    </w:p>
    <w:p>
      <w:pPr>
        <w:ind w:left="1380" w:hanging="319"/>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Credit-impaired financial assets</w:t>
      </w:r>
    </w:p>
    <w:p>
      <w:pPr>
        <w:spacing w:after="0" w:line="117" w:lineRule="exact"/>
        <w:rPr>
          <w:rFonts w:ascii="Times New Roman" w:cs="Times New Roman" w:eastAsia="Times New Roman" w:hAnsi="Times New Roman"/>
          <w:sz w:val="18"/>
          <w:szCs w:val="18"/>
          <w:color w:val="auto"/>
        </w:rPr>
      </w:pPr>
    </w:p>
    <w:p>
      <w:pPr>
        <w:ind w:left="13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asset is credit-impaired when one or more events that have a detrimental impact on the estimated future cash flows of that financial asset have occurred. Evidence that a financial asset is credit-impaired includes observable data about the following events:</w:t>
      </w:r>
    </w:p>
    <w:p>
      <w:pPr>
        <w:spacing w:after="0" w:line="53" w:lineRule="exact"/>
        <w:rPr>
          <w:rFonts w:ascii="Times New Roman" w:cs="Times New Roman" w:eastAsia="Times New Roman" w:hAnsi="Times New Roman"/>
          <w:sz w:val="18"/>
          <w:szCs w:val="18"/>
          <w:color w:val="auto"/>
        </w:rPr>
      </w:pPr>
    </w:p>
    <w:p>
      <w:pPr>
        <w:ind w:left="1700" w:hanging="315"/>
        <w:spacing w:after="0"/>
        <w:tabs>
          <w:tab w:leader="none" w:pos="1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difficulty of the issuer or the borrower;</w:t>
      </w:r>
    </w:p>
    <w:p>
      <w:pPr>
        <w:spacing w:after="0" w:line="117" w:lineRule="exact"/>
        <w:rPr>
          <w:rFonts w:ascii="Times New Roman" w:cs="Times New Roman" w:eastAsia="Times New Roman" w:hAnsi="Times New Roman"/>
          <w:sz w:val="18"/>
          <w:szCs w:val="18"/>
          <w:color w:val="auto"/>
        </w:rPr>
      </w:pPr>
    </w:p>
    <w:p>
      <w:pPr>
        <w:ind w:left="1700" w:hanging="315"/>
        <w:spacing w:after="0"/>
        <w:tabs>
          <w:tab w:leader="none" w:pos="1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past due event;</w:t>
      </w:r>
    </w:p>
    <w:p>
      <w:pPr>
        <w:spacing w:after="0" w:line="117" w:lineRule="exact"/>
        <w:rPr>
          <w:rFonts w:ascii="Times New Roman" w:cs="Times New Roman" w:eastAsia="Times New Roman" w:hAnsi="Times New Roman"/>
          <w:sz w:val="18"/>
          <w:szCs w:val="18"/>
          <w:color w:val="auto"/>
        </w:rPr>
      </w:pPr>
    </w:p>
    <w:p>
      <w:pPr>
        <w:ind w:left="1700" w:hanging="315"/>
        <w:spacing w:after="0" w:line="282" w:lineRule="auto"/>
        <w:tabs>
          <w:tab w:leader="none" w:pos="16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of the borrower, for economic or contractual reasons relating to the borrower's financial difficulty, having granted to the borrower a concession(s) that the lender(s) would not otherwise consider; or</w:t>
      </w:r>
    </w:p>
    <w:p>
      <w:pPr>
        <w:spacing w:after="0" w:line="53" w:lineRule="exact"/>
        <w:rPr>
          <w:rFonts w:ascii="Times New Roman" w:cs="Times New Roman" w:eastAsia="Times New Roman" w:hAnsi="Times New Roman"/>
          <w:sz w:val="18"/>
          <w:szCs w:val="18"/>
          <w:color w:val="auto"/>
        </w:rPr>
      </w:pPr>
    </w:p>
    <w:p>
      <w:pPr>
        <w:ind w:left="1700" w:hanging="315"/>
        <w:spacing w:after="0"/>
        <w:tabs>
          <w:tab w:leader="none" w:pos="1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becoming probable that the borrower will enter bankruptcy or other financial reorganization.</w:t>
      </w:r>
    </w:p>
    <w:p>
      <w:pPr>
        <w:spacing w:after="0" w:line="117" w:lineRule="exact"/>
        <w:rPr>
          <w:sz w:val="20"/>
          <w:szCs w:val="20"/>
          <w:color w:val="auto"/>
        </w:rPr>
      </w:pPr>
    </w:p>
    <w:p>
      <w:pPr>
        <w:ind w:left="1380" w:hanging="319"/>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policy</w:t>
      </w:r>
    </w:p>
    <w:p>
      <w:pPr>
        <w:spacing w:after="0" w:line="117" w:lineRule="exact"/>
        <w:rPr>
          <w:rFonts w:ascii="Times New Roman" w:cs="Times New Roman" w:eastAsia="Times New Roman" w:hAnsi="Times New Roman"/>
          <w:sz w:val="18"/>
          <w:szCs w:val="18"/>
          <w:color w:val="auto"/>
        </w:rPr>
      </w:pPr>
    </w:p>
    <w:p>
      <w:pPr>
        <w:jc w:val="both"/>
        <w:ind w:left="13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writes off a financial asset when there is information indicating that the counterparty is in severe financial difficulty and there is no realistic prospect of recovery, for example, when the counterparty has been placed under liquidation or has entered into bankruptcy proceedings, or in the case of trade receivables, when the amounts are over two years past due, whichever occurs sooner. Financial assets written off may still be subject to enforcement activities under the Group's recovery procedures, taking into account legal advice where appropriate. A write-off constitutes a derecognition event. Any subsequent recoveries are recognized in profit or loss.</w:t>
      </w:r>
    </w:p>
    <w:p>
      <w:pPr>
        <w:spacing w:after="0" w:line="75"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recognition of ECL</w:t>
      </w:r>
    </w:p>
    <w:p>
      <w:pPr>
        <w:spacing w:after="0" w:line="117" w:lineRule="exact"/>
        <w:rPr>
          <w:rFonts w:ascii="Times New Roman" w:cs="Times New Roman" w:eastAsia="Times New Roman" w:hAnsi="Times New Roman"/>
          <w:sz w:val="18"/>
          <w:szCs w:val="18"/>
          <w:color w:val="auto"/>
        </w:rPr>
      </w:pPr>
    </w:p>
    <w:p>
      <w:pPr>
        <w:jc w:val="both"/>
        <w:ind w:left="1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of ECL is a function of the probability of default, loss given default (i.e. the magnitude of the loss if there is a default) and the exposure at default. The assessment of the probability of default and loss given default is based on historical data adjusted by forward-looking information. Estimation of ECL reflects an unbiased and probability-weighted amount that is determined with the respective risks of default occurring as the weights.</w:t>
      </w:r>
    </w:p>
    <w:p>
      <w:pPr>
        <w:spacing w:after="0" w:line="71" w:lineRule="exact"/>
        <w:rPr>
          <w:rFonts w:ascii="Times New Roman" w:cs="Times New Roman" w:eastAsia="Times New Roman" w:hAnsi="Times New Roman"/>
          <w:sz w:val="18"/>
          <w:szCs w:val="18"/>
          <w:color w:val="auto"/>
        </w:rPr>
      </w:pPr>
    </w:p>
    <w:p>
      <w:pPr>
        <w:ind w:left="13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ECL is the difference between all contractual cash flows that are due to the Group in accordance with the contract and the cash flows that the Group expects to receive, discounted at the effective interest rate determined at initial recognition.</w:t>
      </w:r>
    </w:p>
    <w:p>
      <w:pPr>
        <w:spacing w:after="0" w:line="54" w:lineRule="exact"/>
        <w:rPr>
          <w:sz w:val="20"/>
          <w:szCs w:val="20"/>
          <w:color w:val="auto"/>
        </w:rPr>
      </w:pPr>
    </w:p>
    <w:p>
      <w:pPr>
        <w:ind w:left="1380"/>
        <w:spacing w:after="0" w:line="282" w:lineRule="auto"/>
        <w:rPr>
          <w:sz w:val="20"/>
          <w:szCs w:val="20"/>
          <w:color w:val="auto"/>
        </w:rPr>
      </w:pPr>
      <w:r>
        <w:rPr>
          <w:rFonts w:ascii="Times New Roman" w:cs="Times New Roman" w:eastAsia="Times New Roman" w:hAnsi="Times New Roman"/>
          <w:sz w:val="18"/>
          <w:szCs w:val="18"/>
          <w:color w:val="auto"/>
        </w:rPr>
        <w:t>Interest income is calculated based on the gross carrying amount of the financial asset unless the financial asset is credit-impaired, in which case interest income is calculated based on amortized cost of the financial asset.</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Foreign exchange gains and losses</w:t>
      </w:r>
    </w:p>
    <w:p>
      <w:pPr>
        <w:spacing w:after="0" w:line="119"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carrying amount of financial assets that are denominated in a foreign currency is determined in that foreign currency and translated at the spot rate at the end of each reporting period. For financial assets measured at amortized cost that are not part of a designated hedging relationship, exchange differences are recognized in profit or loss as part of the net foreign exchange gains.</w:t>
      </w:r>
    </w:p>
    <w:p>
      <w:pPr>
        <w:spacing w:after="0" w:line="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Derecognition of financial assets</w:t>
      </w:r>
    </w:p>
    <w:p>
      <w:pPr>
        <w:spacing w:after="0" w:line="119" w:lineRule="exact"/>
        <w:rPr>
          <w:sz w:val="20"/>
          <w:szCs w:val="20"/>
          <w:color w:val="auto"/>
        </w:rPr>
      </w:pPr>
    </w:p>
    <w:p>
      <w:pPr>
        <w:jc w:val="both"/>
        <w:ind w:left="1060" w:right="20"/>
        <w:spacing w:after="0" w:line="282" w:lineRule="auto"/>
        <w:rPr>
          <w:sz w:val="20"/>
          <w:szCs w:val="20"/>
          <w:color w:val="auto"/>
        </w:rPr>
      </w:pPr>
      <w:r>
        <w:rPr>
          <w:rFonts w:ascii="Times New Roman" w:cs="Times New Roman" w:eastAsia="Times New Roman" w:hAnsi="Times New Roman"/>
          <w:sz w:val="18"/>
          <w:szCs w:val="18"/>
          <w:color w:val="auto"/>
        </w:rPr>
        <w:t>The Group derecognizes a financial asset only when the contractual rights to the cash flows from the asset expire, or when it transfers the financial assets and substantially all the risk and rewards of ownership of the asset to another entity.</w:t>
      </w:r>
    </w:p>
    <w:p>
      <w:pPr>
        <w:spacing w:after="0" w:line="54"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On derecognition of a financial asset measured at amortized cost, the difference between the asset's carrying amount and the sum of the consideration received is recognized in profit or loss.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Basis of preparation of consolidated financial statements and material accounting policy information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Material accounting policy information - continued</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Financial liabilities and equity</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Classification as debt or equity</w:t>
      </w:r>
    </w:p>
    <w:p>
      <w:pPr>
        <w:spacing w:after="0" w:line="119"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Equity instruments</w:t>
      </w:r>
    </w:p>
    <w:p>
      <w:pPr>
        <w:spacing w:after="0" w:line="119"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An equity instrument is any contract that evidences a residual interest in the assets of an entity after deducting all of its liabilities. Equity instruments issued by the Group are recognized at the proceeds received, net of direct issue costs.</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All financial liabilities are subsequently measured at amortized cost, using the effective interest method.</w:t>
      </w:r>
    </w:p>
    <w:p>
      <w:pPr>
        <w:spacing w:after="0" w:line="11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Financial liabilities at amortized cost</w:t>
      </w:r>
    </w:p>
    <w:p>
      <w:pPr>
        <w:spacing w:after="0" w:line="119"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Financial liabilities including other payables and amount due to a related company are subsequently measured at amortized cost, using the effective interest method.</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Derecognition of financial liabilities</w:t>
      </w:r>
    </w:p>
    <w:p>
      <w:pPr>
        <w:spacing w:after="0" w:line="119"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Group derecognizes financial liabilities when, and only when, the Group's obligations are discharged, cancelled or have expired. The difference between the carrying amount of the financial liability derecognized and the consideration paid and payable is recognized in profit or loss.</w:t>
      </w:r>
    </w:p>
    <w:p>
      <w:pPr>
        <w:spacing w:after="0" w:line="200" w:lineRule="exact"/>
        <w:rPr>
          <w:sz w:val="20"/>
          <w:szCs w:val="20"/>
          <w:color w:val="auto"/>
        </w:rPr>
      </w:pPr>
    </w:p>
    <w:p>
      <w:pPr>
        <w:spacing w:after="0" w:line="2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4</w:t>
        <w:tab/>
        <w:t>Revenue</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r>
      <w:tr>
        <w:trPr>
          <w:trHeight w:val="27"/>
        </w:trPr>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laboratory testing kits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244,218</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provision of diagnostics service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429,672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48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573,247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line="282" w:lineRule="auto"/>
        <w:rPr>
          <w:sz w:val="20"/>
          <w:szCs w:val="20"/>
          <w:color w:val="auto"/>
        </w:rPr>
      </w:pPr>
      <w:r>
        <w:rPr>
          <w:rFonts w:ascii="Times New Roman" w:cs="Times New Roman" w:eastAsia="Times New Roman" w:hAnsi="Times New Roman"/>
          <w:sz w:val="18"/>
          <w:szCs w:val="18"/>
          <w:color w:val="auto"/>
        </w:rPr>
        <w:t>Revenue from sales of laboratory testing kits is recognized at a point of time when control of the goods has been transferred to the customer, being at the point when the goods are delivered to the customer.</w:t>
      </w:r>
    </w:p>
    <w:p>
      <w:pPr>
        <w:spacing w:after="0" w:line="189" w:lineRule="exact"/>
        <w:rPr>
          <w:sz w:val="20"/>
          <w:szCs w:val="20"/>
          <w:color w:val="auto"/>
        </w:rPr>
      </w:pPr>
    </w:p>
    <w:p>
      <w:pPr>
        <w:ind w:left="420"/>
        <w:spacing w:after="0" w:line="282" w:lineRule="auto"/>
        <w:rPr>
          <w:sz w:val="20"/>
          <w:szCs w:val="20"/>
          <w:color w:val="auto"/>
        </w:rPr>
      </w:pPr>
      <w:r>
        <w:rPr>
          <w:rFonts w:ascii="Times New Roman" w:cs="Times New Roman" w:eastAsia="Times New Roman" w:hAnsi="Times New Roman"/>
          <w:sz w:val="18"/>
          <w:szCs w:val="18"/>
          <w:color w:val="auto"/>
        </w:rPr>
        <w:t>Revenue from provision of diagnostics service is recognized at the point in time when control of the service has transferred to the customers, which generally occurs upon delivery of the test results or reports.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3"/>
        </w:trPr>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5  Other income and other gains and losses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interest income</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26,835,314</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31,280,591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Consultancy and management service income</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468,000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service income</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240,716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171,944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27,896,174</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32,039,344</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(2,489,614)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Gain (loss) on disposal of property, plant and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Waiver from amount due to a related company</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gains and losses,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(2,546,087)</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9"/>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7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before tax has been arrived at after charging:</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Auditor's remuneration</w:t>
            </w: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1,198,520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1,671,269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1,215,689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2,416,122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emoluments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8,089,263</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4,996,740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57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180" w:type="dxa"/>
            <w:vAlign w:val="bottom"/>
            <w:vMerge w:val="continue"/>
          </w:tcPr>
          <w:p>
            <w:pPr>
              <w:spacing w:after="0"/>
              <w:rPr>
                <w:sz w:val="24"/>
                <w:szCs w:val="24"/>
                <w:color w:val="auto"/>
              </w:rPr>
            </w:pPr>
          </w:p>
        </w:tc>
        <w:tc>
          <w:tcPr>
            <w:tcW w:w="572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54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CCEEFF"/>
            </w:tcBorders>
          </w:tcPr>
          <w:p>
            <w:pPr>
              <w:spacing w:after="0"/>
              <w:rPr>
                <w:sz w:val="24"/>
                <w:szCs w:val="24"/>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Income Tax ("EIT")</w:t>
            </w:r>
          </w:p>
        </w:tc>
        <w:tc>
          <w:tcPr>
            <w:tcW w:w="6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Under the Law of the People's Republic of China (the "PRC") on EIT (the "EIT Law") and Implementation Regulation of the EIT Law, the tax rate of the PRC subsidiaries is 25% for the year. Under the Preferential Income Tax Policies on Small Low-profit Enterprises issued by State Taxation Administration of the PRC, the qualified entity will be taxed at 5%.</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Hong Kong Profits Tax is calculated at 16.5% on the estimated assessable profit for the year.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Taxation arising in other jurisdictions is calculated at the rates prevailing in the relevant jurisdictions.</w:t>
      </w:r>
    </w:p>
    <w:p>
      <w:pPr>
        <w:spacing w:after="0" w:line="117"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For the year, no provision for income tax is required as the individual companies comprising the Group either have no assessable profit, incurred a loss or have tax losses brought forward from prior years to offset the assessable profits.</w:t>
      </w:r>
    </w:p>
    <w:p>
      <w:pPr>
        <w:spacing w:after="0" w:line="54"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The income tax expense for the year can be reconciled to the profit before tax per the statement of profit or loss and other comprehensive income as follows:</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Income tax expense/(credit)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50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before tax</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5,804,192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4,472,893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Tax at the domestic rate of 16.5% (Note)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738,027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income not taxable for tax purposes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(4,577,504)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(5,178,539)</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expenses not deductible for tax purposes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843,431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deductible temporary differences not recognized</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275,759</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tax losses not recognized</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4,425,036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different tax rates of subsidiaries operating in other</w:t>
            </w:r>
          </w:p>
        </w:tc>
        <w:tc>
          <w:tcPr>
            <w:tcW w:w="38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(1,103,714)</w:t>
            </w:r>
          </w:p>
        </w:tc>
        <w:tc>
          <w:tcPr>
            <w:tcW w:w="0" w:type="dxa"/>
            <w:vAlign w:val="bottom"/>
          </w:tcPr>
          <w:p>
            <w:pPr>
              <w:spacing w:after="0"/>
              <w:rPr>
                <w:sz w:val="1"/>
                <w:szCs w:val="1"/>
                <w:color w:val="auto"/>
              </w:rPr>
            </w:pPr>
          </w:p>
        </w:tc>
      </w:tr>
      <w:tr>
        <w:trPr>
          <w:trHeight w:val="248"/>
        </w:trPr>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jurisdictions</w:t>
            </w: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for the year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80" w:hanging="566"/>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Note:</w:t>
        <w:tab/>
        <w:t>The domestic tax rate (which is Hong Kong Profits Tax rate) in the jurisdiction where the operation of the Group is substantially based is used.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0"/>
        </w:trPr>
        <w:tc>
          <w:tcPr>
            <w:tcW w:w="4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Leasehold</w:t>
            </w: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Factory and</w:t>
            </w:r>
          </w:p>
        </w:tc>
        <w:tc>
          <w:tcPr>
            <w:tcW w:w="2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rPr>
              <w:t>Lab</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9"/>
        </w:trPr>
        <w:tc>
          <w:tcPr>
            <w:tcW w:w="4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improvements</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factory equipment</w:t>
            </w:r>
          </w:p>
        </w:tc>
        <w:tc>
          <w:tcPr>
            <w:tcW w:w="200" w:type="dxa"/>
            <w:vAlign w:val="bottom"/>
          </w:tcPr>
          <w:p>
            <w:pPr>
              <w:spacing w:after="0"/>
              <w:rPr>
                <w:sz w:val="22"/>
                <w:szCs w:val="22"/>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9"/>
              </w:rPr>
              <w:t>equipment</w:t>
            </w:r>
          </w:p>
        </w:tc>
        <w:tc>
          <w:tcPr>
            <w:tcW w:w="320" w:type="dxa"/>
            <w:vAlign w:val="bottom"/>
          </w:tcPr>
          <w:p>
            <w:pPr>
              <w:spacing w:after="0"/>
              <w:rPr>
                <w:sz w:val="22"/>
                <w:szCs w:val="22"/>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r>
      <w:tr>
        <w:trPr>
          <w:trHeight w:val="243"/>
        </w:trPr>
        <w:tc>
          <w:tcPr>
            <w:tcW w:w="460" w:type="dxa"/>
            <w:vAlign w:val="bottom"/>
          </w:tcPr>
          <w:p>
            <w:pPr>
              <w:spacing w:after="0"/>
              <w:rPr>
                <w:sz w:val="21"/>
                <w:szCs w:val="21"/>
                <w:color w:val="auto"/>
              </w:rPr>
            </w:pPr>
          </w:p>
        </w:tc>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at January 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944,682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930,726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3,641,185</w:t>
            </w:r>
          </w:p>
        </w:tc>
      </w:tr>
      <w:tr>
        <w:trPr>
          <w:trHeight w:val="263"/>
        </w:trPr>
        <w:tc>
          <w:tcPr>
            <w:tcW w:w="46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606,296</w:t>
            </w:r>
          </w:p>
        </w:tc>
      </w:tr>
      <w:tr>
        <w:trPr>
          <w:trHeight w:val="250"/>
        </w:trPr>
        <w:tc>
          <w:tcPr>
            <w:tcW w:w="4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(205,488)</w:t>
            </w:r>
          </w:p>
        </w:tc>
      </w:tr>
      <w:tr>
        <w:trPr>
          <w:trHeight w:val="263"/>
        </w:trPr>
        <w:tc>
          <w:tcPr>
            <w:tcW w:w="46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adjustments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(119,288)</w:t>
            </w:r>
          </w:p>
        </w:tc>
      </w:tr>
      <w:tr>
        <w:trPr>
          <w:trHeight w:val="243"/>
        </w:trPr>
        <w:tc>
          <w:tcPr>
            <w:tcW w:w="4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3,922,705</w:t>
            </w:r>
          </w:p>
        </w:tc>
      </w:tr>
      <w:tr>
        <w:trPr>
          <w:trHeight w:val="263"/>
        </w:trPr>
        <w:tc>
          <w:tcPr>
            <w:tcW w:w="46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3,237,154</w:t>
            </w:r>
          </w:p>
        </w:tc>
      </w:tr>
      <w:tr>
        <w:trPr>
          <w:trHeight w:val="250"/>
        </w:trPr>
        <w:tc>
          <w:tcPr>
            <w:tcW w:w="4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(840,398)</w:t>
            </w:r>
          </w:p>
        </w:tc>
      </w:tr>
      <w:tr>
        <w:trPr>
          <w:trHeight w:val="263"/>
        </w:trPr>
        <w:tc>
          <w:tcPr>
            <w:tcW w:w="46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adjustments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220,346</w:t>
            </w:r>
          </w:p>
        </w:tc>
      </w:tr>
      <w:tr>
        <w:trPr>
          <w:trHeight w:val="243"/>
        </w:trPr>
        <w:tc>
          <w:tcPr>
            <w:tcW w:w="460" w:type="dxa"/>
            <w:vAlign w:val="bottom"/>
          </w:tcPr>
          <w:p>
            <w:pPr>
              <w:spacing w:after="0"/>
              <w:rPr>
                <w:sz w:val="21"/>
                <w:szCs w:val="21"/>
                <w:color w:val="auto"/>
              </w:rPr>
            </w:pPr>
          </w:p>
        </w:tc>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2,257,478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1,859,672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2,422,657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6,539,807</w:t>
            </w:r>
          </w:p>
        </w:tc>
      </w:tr>
      <w:tr>
        <w:trPr>
          <w:trHeight w:val="243"/>
        </w:trPr>
        <w:tc>
          <w:tcPr>
            <w:tcW w:w="460" w:type="dxa"/>
            <w:vAlign w:val="bottom"/>
          </w:tcPr>
          <w:p>
            <w:pPr>
              <w:spacing w:after="0"/>
              <w:rPr>
                <w:sz w:val="21"/>
                <w:szCs w:val="21"/>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at January 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244,253</w:t>
            </w:r>
          </w:p>
        </w:tc>
      </w:tr>
      <w:tr>
        <w:trPr>
          <w:trHeight w:val="263"/>
        </w:trPr>
        <w:tc>
          <w:tcPr>
            <w:tcW w:w="46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Provided for the year</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1,671,269</w:t>
            </w:r>
          </w:p>
        </w:tc>
      </w:tr>
      <w:tr>
        <w:trPr>
          <w:trHeight w:val="250"/>
        </w:trPr>
        <w:tc>
          <w:tcPr>
            <w:tcW w:w="4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(44,522)</w:t>
            </w:r>
          </w:p>
        </w:tc>
      </w:tr>
      <w:tr>
        <w:trPr>
          <w:trHeight w:val="263"/>
        </w:trPr>
        <w:tc>
          <w:tcPr>
            <w:tcW w:w="46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adjustments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r>
      <w:tr>
        <w:trPr>
          <w:trHeight w:val="243"/>
        </w:trPr>
        <w:tc>
          <w:tcPr>
            <w:tcW w:w="4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1,863,084</w:t>
            </w:r>
          </w:p>
        </w:tc>
      </w:tr>
      <w:tr>
        <w:trPr>
          <w:trHeight w:val="263"/>
        </w:trPr>
        <w:tc>
          <w:tcPr>
            <w:tcW w:w="46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Provided for the year</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1,198,520</w:t>
            </w:r>
          </w:p>
        </w:tc>
      </w:tr>
      <w:tr>
        <w:trPr>
          <w:trHeight w:val="250"/>
        </w:trPr>
        <w:tc>
          <w:tcPr>
            <w:tcW w:w="4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(840,398)</w:t>
            </w:r>
          </w:p>
        </w:tc>
      </w:tr>
      <w:tr>
        <w:trPr>
          <w:trHeight w:val="263"/>
        </w:trPr>
        <w:tc>
          <w:tcPr>
            <w:tcW w:w="46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adjustments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86,524</w:t>
            </w:r>
          </w:p>
        </w:tc>
      </w:tr>
      <w:tr>
        <w:trPr>
          <w:trHeight w:val="243"/>
        </w:trPr>
        <w:tc>
          <w:tcPr>
            <w:tcW w:w="460" w:type="dxa"/>
            <w:vAlign w:val="bottom"/>
          </w:tcPr>
          <w:p>
            <w:pPr>
              <w:spacing w:after="0"/>
              <w:rPr>
                <w:sz w:val="21"/>
                <w:szCs w:val="21"/>
                <w:color w:val="auto"/>
              </w:rPr>
            </w:pPr>
          </w:p>
        </w:tc>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484,548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204,372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2,307,730</w:t>
            </w:r>
          </w:p>
        </w:tc>
      </w:tr>
      <w:tr>
        <w:trPr>
          <w:trHeight w:val="243"/>
        </w:trPr>
        <w:tc>
          <w:tcPr>
            <w:tcW w:w="460" w:type="dxa"/>
            <w:vAlign w:val="bottom"/>
          </w:tcPr>
          <w:p>
            <w:pPr>
              <w:spacing w:after="0"/>
              <w:rPr>
                <w:sz w:val="21"/>
                <w:szCs w:val="21"/>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values</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638,668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1,375,124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2,218,285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4,232,077</w:t>
            </w:r>
          </w:p>
        </w:tc>
      </w:tr>
      <w:tr>
        <w:trPr>
          <w:trHeight w:val="20"/>
        </w:trPr>
        <w:tc>
          <w:tcPr>
            <w:tcW w:w="460" w:type="dxa"/>
            <w:vAlign w:val="bottom"/>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5"/>
        </w:trPr>
        <w:tc>
          <w:tcPr>
            <w:tcW w:w="460" w:type="dxa"/>
            <w:vAlign w:val="bottom"/>
          </w:tcPr>
          <w:p>
            <w:pPr>
              <w:spacing w:after="0"/>
              <w:rPr>
                <w:sz w:val="23"/>
                <w:szCs w:val="23"/>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2,059,621</w:t>
            </w:r>
          </w:p>
        </w:tc>
      </w:tr>
      <w:tr>
        <w:trPr>
          <w:trHeight w:val="20"/>
        </w:trPr>
        <w:tc>
          <w:tcPr>
            <w:tcW w:w="46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above items of property, plant and equipment are depreciated using a straight-line method at the following rates per annum: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0" w:type="dxa"/>
            <w:vAlign w:val="bottom"/>
          </w:tcPr>
          <w:p>
            <w:pPr>
              <w:spacing w:after="0"/>
              <w:rPr>
                <w:sz w:val="23"/>
                <w:szCs w:val="23"/>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62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Over the term of the lease</w:t>
            </w:r>
          </w:p>
        </w:tc>
        <w:tc>
          <w:tcPr>
            <w:tcW w:w="940" w:type="dxa"/>
            <w:vAlign w:val="bottom"/>
          </w:tcPr>
          <w:p>
            <w:pPr>
              <w:spacing w:after="0"/>
              <w:rPr>
                <w:sz w:val="23"/>
                <w:szCs w:val="23"/>
                <w:color w:val="auto"/>
              </w:rPr>
            </w:pPr>
          </w:p>
        </w:tc>
      </w:tr>
      <w:tr>
        <w:trPr>
          <w:trHeight w:val="243"/>
        </w:trPr>
        <w:tc>
          <w:tcPr>
            <w:tcW w:w="4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Factory and factory equipment</w:t>
            </w:r>
          </w:p>
        </w:tc>
        <w:tc>
          <w:tcPr>
            <w:tcW w:w="62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tcPr>
          <w:p>
            <w:pPr>
              <w:spacing w:after="0"/>
              <w:rPr>
                <w:sz w:val="21"/>
                <w:szCs w:val="21"/>
                <w:color w:val="auto"/>
              </w:rPr>
            </w:pPr>
          </w:p>
        </w:tc>
      </w:tr>
      <w:tr>
        <w:trPr>
          <w:trHeight w:val="27"/>
        </w:trPr>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626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Pr>
          <w:p>
            <w:pPr>
              <w:spacing w:after="0"/>
              <w:rPr>
                <w:sz w:val="21"/>
                <w:szCs w:val="21"/>
                <w:color w:val="auto"/>
              </w:rPr>
            </w:pPr>
          </w:p>
        </w:tc>
      </w:tr>
      <w:tr>
        <w:trPr>
          <w:trHeight w:val="891"/>
        </w:trPr>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260" w:type="dxa"/>
            <w:vAlign w:val="bottom"/>
          </w:tcPr>
          <w:p>
            <w:pPr>
              <w:jc w:val="right"/>
              <w:ind w:right="449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6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3"/>
        </w:trPr>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9  Right-of-use assets</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Leased properties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380" w:type="dxa"/>
            <w:vAlign w:val="bottom"/>
          </w:tcPr>
          <w:p>
            <w:pPr>
              <w:spacing w:after="0"/>
              <w:rPr>
                <w:sz w:val="21"/>
                <w:szCs w:val="21"/>
                <w:color w:val="auto"/>
              </w:rPr>
            </w:pPr>
          </w:p>
        </w:tc>
        <w:tc>
          <w:tcPr>
            <w:tcW w:w="12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1,463,566</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380" w:type="dxa"/>
            <w:vAlign w:val="bottom"/>
          </w:tcPr>
          <w:p>
            <w:pPr>
              <w:spacing w:after="0"/>
              <w:rPr>
                <w:sz w:val="21"/>
                <w:szCs w:val="21"/>
                <w:color w:val="auto"/>
              </w:rPr>
            </w:pPr>
          </w:p>
        </w:tc>
        <w:tc>
          <w:tcPr>
            <w:tcW w:w="12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2,875,107</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charge</w:t>
            </w:r>
          </w:p>
        </w:tc>
        <w:tc>
          <w:tcPr>
            <w:tcW w:w="380" w:type="dxa"/>
            <w:vAlign w:val="bottom"/>
          </w:tcPr>
          <w:p>
            <w:pPr>
              <w:spacing w:after="0"/>
              <w:rPr>
                <w:sz w:val="21"/>
                <w:szCs w:val="21"/>
                <w:color w:val="auto"/>
              </w:rPr>
            </w:pPr>
          </w:p>
        </w:tc>
        <w:tc>
          <w:tcPr>
            <w:tcW w:w="12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2,489,615</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3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charge</w:t>
            </w:r>
          </w:p>
        </w:tc>
        <w:tc>
          <w:tcPr>
            <w:tcW w:w="3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1,215,689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4"/>
                <w:szCs w:val="24"/>
                <w:color w:val="auto"/>
              </w:rPr>
            </w:pPr>
          </w:p>
        </w:tc>
        <w:tc>
          <w:tcPr>
            <w:tcW w:w="16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4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1,329,298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2,541,362</w:t>
            </w: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to right-of-use assets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2,557,828</w:t>
            </w:r>
          </w:p>
        </w:tc>
        <w:tc>
          <w:tcPr>
            <w:tcW w:w="1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1,114,252</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line="266" w:lineRule="auto"/>
        <w:rPr>
          <w:sz w:val="20"/>
          <w:szCs w:val="20"/>
          <w:color w:val="auto"/>
        </w:rPr>
      </w:pPr>
      <w:r>
        <w:rPr>
          <w:rFonts w:ascii="Times New Roman" w:cs="Times New Roman" w:eastAsia="Times New Roman" w:hAnsi="Times New Roman"/>
          <w:sz w:val="18"/>
          <w:szCs w:val="18"/>
          <w:color w:val="auto"/>
        </w:rPr>
        <w:t>For current year, the Group leased various offices for its operations. Lease contracts are entered into for fixed term of two to three years. Lease terms are negotiated on an individual basis and contain different terms and conditions. In determining the lease term and assessing the length of the non-cancellable period, the Group applies the definition of a contract and determines the period for which the contract is enforceable.</w:t>
      </w:r>
    </w:p>
    <w:p>
      <w:pPr>
        <w:spacing w:after="0" w:line="200" w:lineRule="exact"/>
        <w:rPr>
          <w:sz w:val="20"/>
          <w:szCs w:val="20"/>
          <w:color w:val="auto"/>
        </w:rPr>
      </w:pPr>
    </w:p>
    <w:p>
      <w:pPr>
        <w:spacing w:after="0" w:line="21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10</w:t>
        <w:tab/>
        <w:t>Intangible assets</w:t>
      </w:r>
    </w:p>
    <w:p>
      <w:pPr>
        <w:spacing w:after="0" w:line="171" w:lineRule="exact"/>
        <w:rPr>
          <w:sz w:val="20"/>
          <w:szCs w:val="20"/>
          <w:color w:val="auto"/>
        </w:rPr>
      </w:pPr>
    </w:p>
    <w:tbl>
      <w:tblPr>
        <w:tblLayout w:type="fixed"/>
        <w:tblInd w:w="2340" w:type="dxa"/>
        <w:tblCellMar>
          <w:top w:w="0" w:type="dxa"/>
          <w:left w:w="0" w:type="dxa"/>
          <w:bottom w:w="0" w:type="dxa"/>
          <w:right w:w="0" w:type="dxa"/>
        </w:tblCellMar>
      </w:tblPr>
      <w:tr>
        <w:trPr>
          <w:trHeight w:val="245"/>
        </w:trPr>
        <w:tc>
          <w:tcPr>
            <w:tcW w:w="48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Patent license</w:t>
            </w: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2024, December 31, 2024 and 2025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at January 1, 2024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6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 for the year</w:t>
            </w: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6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 for the year</w:t>
            </w: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4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825,000</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intangible asset is a right to a patent license with a finite useful life and is amortized on a straight-line basis over 20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71" w:lineRule="exact"/>
        <w:rPr>
          <w:sz w:val="20"/>
          <w:szCs w:val="20"/>
          <w:color w:val="auto"/>
        </w:rPr>
      </w:pPr>
    </w:p>
    <w:tbl>
      <w:tblPr>
        <w:tblLayout w:type="fixed"/>
        <w:tblInd w:w="2340" w:type="dxa"/>
        <w:tblCellMar>
          <w:top w:w="0" w:type="dxa"/>
          <w:left w:w="0" w:type="dxa"/>
          <w:bottom w:w="0" w:type="dxa"/>
          <w:right w:w="0" w:type="dxa"/>
        </w:tblCellMar>
      </w:tblPr>
      <w:tr>
        <w:trPr>
          <w:trHeight w:val="245"/>
        </w:trPr>
        <w:tc>
          <w:tcPr>
            <w:tcW w:w="48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at January 1,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732,528</w:t>
            </w: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adjustments</w:t>
            </w: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(30,981)</w:t>
            </w: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701,547</w:t>
            </w: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adjustments</w:t>
            </w: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36,727</w:t>
            </w:r>
          </w:p>
        </w:tc>
      </w:tr>
      <w:tr>
        <w:trPr>
          <w:trHeight w:val="27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738,274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Group tests for impairment of goodwill annually, or more frequently if there are indications that goodwill might be impaired.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year ended December 31, 2024 and 2025, no impairment of goodwill has been recognized.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Trade and other Receivables, Deposits and Prepayments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8"/>
        </w:trPr>
        <w:tc>
          <w:tcPr>
            <w:tcW w:w="13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r>
      <w:tr>
        <w:trPr>
          <w:trHeight w:val="27"/>
        </w:trPr>
        <w:tc>
          <w:tcPr>
            <w:tcW w:w="1300" w:type="dxa"/>
            <w:vAlign w:val="bottom"/>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1300" w:type="dxa"/>
            <w:vAlign w:val="bottom"/>
          </w:tcPr>
          <w:p>
            <w:pPr>
              <w:spacing w:after="0"/>
              <w:rPr>
                <w:sz w:val="22"/>
                <w:szCs w:val="22"/>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3,775,321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1,655,335</w:t>
            </w:r>
          </w:p>
        </w:tc>
      </w:tr>
      <w:tr>
        <w:trPr>
          <w:trHeight w:val="263"/>
        </w:trPr>
        <w:tc>
          <w:tcPr>
            <w:tcW w:w="1300" w:type="dxa"/>
            <w:vAlign w:val="bottom"/>
          </w:tcPr>
          <w:p>
            <w:pPr>
              <w:spacing w:after="0"/>
              <w:rPr>
                <w:sz w:val="22"/>
                <w:szCs w:val="22"/>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288,504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290,633</w:t>
            </w:r>
          </w:p>
        </w:tc>
      </w:tr>
      <w:tr>
        <w:trPr>
          <w:trHeight w:val="250"/>
        </w:trPr>
        <w:tc>
          <w:tcPr>
            <w:tcW w:w="1300" w:type="dxa"/>
            <w:vAlign w:val="bottom"/>
          </w:tcPr>
          <w:p>
            <w:pPr>
              <w:spacing w:after="0"/>
              <w:rPr>
                <w:sz w:val="21"/>
                <w:szCs w:val="21"/>
                <w:color w:val="auto"/>
              </w:rPr>
            </w:pPr>
          </w:p>
        </w:tc>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Prepayments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271,960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528,845</w:t>
            </w:r>
          </w:p>
        </w:tc>
      </w:tr>
      <w:tr>
        <w:trPr>
          <w:trHeight w:val="275"/>
        </w:trPr>
        <w:tc>
          <w:tcPr>
            <w:tcW w:w="1300" w:type="dxa"/>
            <w:vAlign w:val="bottom"/>
          </w:tcPr>
          <w:p>
            <w:pPr>
              <w:spacing w:after="0"/>
              <w:rPr>
                <w:sz w:val="23"/>
                <w:szCs w:val="23"/>
                <w:color w:val="auto"/>
              </w:rPr>
            </w:pPr>
          </w:p>
        </w:tc>
        <w:tc>
          <w:tcPr>
            <w:tcW w:w="4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4,501,853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2,474,813</w:t>
            </w:r>
          </w:p>
        </w:tc>
      </w:tr>
      <w:tr>
        <w:trPr>
          <w:trHeight w:val="20"/>
        </w:trPr>
        <w:tc>
          <w:tcPr>
            <w:tcW w:w="130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Group allows an average credit period of not more than 30 days to customers.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at December 31, 2025, interest receivables of approximately HK$2,727,000 (2024: HK$814,000) were included in other receivables.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details of impairment assessment are set out in note 18.</w:t>
      </w:r>
    </w:p>
    <w:p>
      <w:pPr>
        <w:spacing w:after="0" w:line="3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Bank deposits and Cash and cash equivalents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and cash equivalents carry interest at market rates which ranged from 0.1% to 0.25% (2024: 0.1% to 0.25%).</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Bank deposits with more than three months to maturity carry interest rate at market rates which ranged from 4.08% to 5.29% (2024: 4.98% to 5.30%).</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details of impairment assessment are set out in note 18.</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Lease liabilities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5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payable:</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Within one year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1,297,001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1,116,827</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50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Within a period of more than one year but not exceeding two</w:t>
            </w:r>
          </w:p>
        </w:tc>
        <w:tc>
          <w:tcPr>
            <w:tcW w:w="38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457,711</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4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years</w:t>
            </w:r>
          </w:p>
        </w:tc>
        <w:tc>
          <w:tcPr>
            <w:tcW w:w="38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Within a period of more than two years but not exceeding five</w:t>
            </w:r>
          </w:p>
        </w:tc>
        <w:tc>
          <w:tcPr>
            <w:tcW w:w="38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758,642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39,367</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48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years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50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2,971,195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1,613,905</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due for settlement with 12 months shown under</w:t>
            </w:r>
          </w:p>
        </w:tc>
        <w:tc>
          <w:tcPr>
            <w:tcW w:w="38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(1,297,001)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(1,116,827)</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4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500" w:type="dxa"/>
            <w:vAlign w:val="bottom"/>
          </w:tcPr>
          <w:p>
            <w:pPr>
              <w:spacing w:after="0"/>
              <w:rPr>
                <w:sz w:val="17"/>
                <w:szCs w:val="17"/>
                <w:color w:val="auto"/>
              </w:rPr>
            </w:pPr>
          </w:p>
        </w:tc>
        <w:tc>
          <w:tcPr>
            <w:tcW w:w="48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Amount due for settlement after 12 months shown under non-</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1,674,194</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497,078</w:t>
            </w:r>
          </w:p>
        </w:tc>
        <w:tc>
          <w:tcPr>
            <w:tcW w:w="0" w:type="dxa"/>
            <w:vAlign w:val="bottom"/>
          </w:tcPr>
          <w:p>
            <w:pPr>
              <w:spacing w:after="0"/>
              <w:rPr>
                <w:sz w:val="1"/>
                <w:szCs w:val="1"/>
                <w:color w:val="auto"/>
              </w:rPr>
            </w:pPr>
          </w:p>
        </w:tc>
      </w:tr>
      <w:tr>
        <w:trPr>
          <w:trHeight w:val="227"/>
        </w:trPr>
        <w:tc>
          <w:tcPr>
            <w:tcW w:w="150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incremental borrowing rates applied to lease liabilities was 3.25% (2024: 4.74%).</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Amounts due from (to) related companies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due from related companies are trade in nature, unsecured, interest-free and repayable on demand.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 due to a related company is non-trade in nature, unsecured, interest-free and repayable on demand.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details of impairment assessments are set out in note 18.</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Share Capital</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2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A ordinary shares of US$0.0001 each</w:t>
            </w: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at January 1, 2024, December 31, 2024 and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4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ordinary shares of US$0.0001 each</w:t>
            </w: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at January 1, 2024, December 31, 2024 and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4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Issued and fully paid:</w:t>
            </w: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ordinary shares of US$0.0001 each</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1240" w:type="dxa"/>
            <w:vAlign w:val="bottom"/>
          </w:tcPr>
          <w:p>
            <w:pPr>
              <w:spacing w:after="0"/>
              <w:rPr>
                <w:sz w:val="24"/>
                <w:szCs w:val="24"/>
                <w:color w:val="auto"/>
              </w:rPr>
            </w:pPr>
          </w:p>
        </w:tc>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 at January 1, 2024, December 31, 2024 and 2025</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Class B ordinary shares of US$0.0001 each</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40" w:type="dxa"/>
            <w:vAlign w:val="bottom"/>
          </w:tcPr>
          <w:p>
            <w:pPr>
              <w:spacing w:after="0"/>
              <w:rPr>
                <w:sz w:val="16"/>
                <w:szCs w:val="16"/>
                <w:color w:val="auto"/>
              </w:rPr>
            </w:pPr>
          </w:p>
        </w:tc>
        <w:tc>
          <w:tcPr>
            <w:tcW w:w="538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1240" w:type="dxa"/>
            <w:vAlign w:val="bottom"/>
          </w:tcPr>
          <w:p>
            <w:pPr>
              <w:spacing w:after="0"/>
              <w:rPr>
                <w:sz w:val="24"/>
                <w:szCs w:val="24"/>
                <w:color w:val="auto"/>
              </w:rPr>
            </w:pPr>
          </w:p>
        </w:tc>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 at January 1, 2024, December 31, 2024 and 2025</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146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9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Shown in the consolidated financial statements of financial</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41"/>
        </w:trPr>
        <w:tc>
          <w:tcPr>
            <w:tcW w:w="4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position</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17</w:t>
        <w:tab/>
        <w:t>Capital risk management</w:t>
      </w:r>
    </w:p>
    <w:p>
      <w:pPr>
        <w:spacing w:after="0" w:line="121" w:lineRule="exact"/>
        <w:rPr>
          <w:sz w:val="20"/>
          <w:szCs w:val="20"/>
          <w:color w:val="auto"/>
        </w:rPr>
      </w:pPr>
    </w:p>
    <w:p>
      <w:pPr>
        <w:ind w:left="420"/>
        <w:spacing w:after="0" w:line="282" w:lineRule="auto"/>
        <w:rPr>
          <w:sz w:val="20"/>
          <w:szCs w:val="20"/>
          <w:color w:val="auto"/>
        </w:rPr>
      </w:pPr>
      <w:r>
        <w:rPr>
          <w:rFonts w:ascii="Times New Roman" w:cs="Times New Roman" w:eastAsia="Times New Roman" w:hAnsi="Times New Roman"/>
          <w:sz w:val="18"/>
          <w:szCs w:val="18"/>
          <w:color w:val="auto"/>
        </w:rPr>
        <w:t>The Group manages its capital to ensure that the Group will be able to continue as a going concern while maximizing the return to shareholders through the generation of profits from its operations.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capital structure of the Group consists of equity attributable to owners of the Company, comprising issued share capital and reserves.</w:t>
      </w:r>
    </w:p>
    <w:p>
      <w:pPr>
        <w:spacing w:after="0" w:line="117" w:lineRule="exact"/>
        <w:rPr>
          <w:sz w:val="20"/>
          <w:szCs w:val="20"/>
          <w:color w:val="auto"/>
        </w:rPr>
      </w:pPr>
    </w:p>
    <w:p>
      <w:pPr>
        <w:ind w:left="420"/>
        <w:spacing w:after="0" w:line="282" w:lineRule="auto"/>
        <w:rPr>
          <w:sz w:val="20"/>
          <w:szCs w:val="20"/>
          <w:color w:val="auto"/>
        </w:rPr>
      </w:pPr>
      <w:r>
        <w:rPr>
          <w:rFonts w:ascii="Times New Roman" w:cs="Times New Roman" w:eastAsia="Times New Roman" w:hAnsi="Times New Roman"/>
          <w:sz w:val="18"/>
          <w:szCs w:val="18"/>
          <w:color w:val="auto"/>
        </w:rPr>
        <w:t>The directors of the Company review the capital structure periodically. As a part of this review, the directors of the Company consider the cost of capital and the risks associated with the capital and will balance its overall capital structure through the payment of dividends and new share issues.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rFonts w:ascii="Times New Roman" w:cs="Times New Roman" w:eastAsia="Times New Roman" w:hAnsi="Times New Roman"/>
          <w:sz w:val="18"/>
          <w:szCs w:val="18"/>
          <w:b w:val="1"/>
          <w:bCs w:val="1"/>
          <w:color w:val="auto"/>
        </w:rPr>
      </w:pPr>
    </w:p>
    <w:p>
      <w:pPr>
        <w:ind w:left="820" w:hanging="407"/>
        <w:spacing w:after="0"/>
        <w:tabs>
          <w:tab w:leader="none" w:pos="8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Categories of financial instruments</w:t>
      </w:r>
    </w:p>
    <w:p>
      <w:pPr>
        <w:spacing w:after="0" w:line="167" w:lineRule="exact"/>
        <w:rPr>
          <w:sz w:val="20"/>
          <w:szCs w:val="20"/>
          <w:color w:val="auto"/>
        </w:rPr>
      </w:pPr>
    </w:p>
    <w:tbl>
      <w:tblPr>
        <w:tblLayout w:type="fixed"/>
        <w:tblInd w:w="146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r>
      <w:tr>
        <w:trPr>
          <w:trHeight w:val="27"/>
        </w:trPr>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626,749,290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631,491,775</w:t>
            </w:r>
          </w:p>
        </w:tc>
      </w:tr>
      <w:tr>
        <w:trPr>
          <w:trHeight w:val="27"/>
        </w:trPr>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2,399,244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9,162,827</w:t>
            </w:r>
          </w:p>
        </w:tc>
      </w:tr>
      <w:tr>
        <w:trPr>
          <w:trHeight w:val="27"/>
        </w:trPr>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management objectives and policies</w:t>
      </w:r>
    </w:p>
    <w:p>
      <w:pPr>
        <w:spacing w:after="0" w:line="117" w:lineRule="exact"/>
        <w:rPr>
          <w:rFonts w:ascii="Times New Roman" w:cs="Times New Roman" w:eastAsia="Times New Roman" w:hAnsi="Times New Roman"/>
          <w:sz w:val="18"/>
          <w:szCs w:val="18"/>
          <w:color w:val="auto"/>
        </w:rPr>
      </w:pPr>
    </w:p>
    <w:p>
      <w:pPr>
        <w:jc w:val="both"/>
        <w:ind w:left="8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major financial instruments include trade receivables, deposits and other receivables, amounts due from related companies, cash and cash equivalents, bank deposits with more than three months to maturity, trade and other payables and amount due to a related company. Details of the financial instruments are disclosed in respective notes. The risks associated with these financial instruments include currency risk, credit risk and liquidity risk. The policies on how to mitigate these risks are set out below. The management manages and monitors these exposures to ensure appropriate measures are implemented on a timely and effective manner.</w:t>
      </w:r>
    </w:p>
    <w:p>
      <w:pPr>
        <w:spacing w:after="0" w:line="71" w:lineRule="exact"/>
        <w:rPr>
          <w:rFonts w:ascii="Times New Roman" w:cs="Times New Roman" w:eastAsia="Times New Roman" w:hAnsi="Times New Roman"/>
          <w:sz w:val="18"/>
          <w:szCs w:val="18"/>
          <w:color w:val="auto"/>
        </w:rPr>
      </w:pPr>
    </w:p>
    <w:p>
      <w:pPr>
        <w:jc w:val="both"/>
        <w:ind w:left="820" w:right="9440"/>
        <w:spacing w:after="0" w:line="4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Market risk </w:t>
      </w:r>
      <w:r>
        <w:rPr>
          <w:rFonts w:ascii="Times New Roman" w:cs="Times New Roman" w:eastAsia="Times New Roman" w:hAnsi="Times New Roman"/>
          <w:sz w:val="17"/>
          <w:szCs w:val="17"/>
          <w:u w:val="single" w:color="auto"/>
          <w:color w:val="auto"/>
        </w:rPr>
        <w:t>Currency risk</w:t>
      </w:r>
    </w:p>
    <w:p>
      <w:pPr>
        <w:jc w:val="both"/>
        <w:ind w:left="8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refers to the risk that the fair value or future cash flows of a financial instrument will fluctuate because of changes in foreign exchange rates. As at the reporting date, the Group was mainly exposed to foreign currency risk from its bank balances, which were mainly denominated in United Stated Dollars ("US$") and Renminbi ("RMB").</w:t>
      </w:r>
    </w:p>
    <w:p>
      <w:pPr>
        <w:spacing w:after="0" w:line="67" w:lineRule="exact"/>
        <w:rPr>
          <w:rFonts w:ascii="Times New Roman" w:cs="Times New Roman" w:eastAsia="Times New Roman" w:hAnsi="Times New Roman"/>
          <w:sz w:val="18"/>
          <w:szCs w:val="18"/>
          <w:color w:val="auto"/>
        </w:rPr>
      </w:pPr>
    </w:p>
    <w:p>
      <w:pPr>
        <w:jc w:val="both"/>
        <w:ind w:left="8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Group currently does not have any foreign currency hedging policy, the management monitors foreign exchange exposure and will consider hedging significant foreign currency exposure should the need arise. As at December 31, 2025, US$ bank balances and bank deposits amounted to approximately HK$618,939,689 (2024: HK$627,312,592), and RMB bank balances amounted to approximately HK$2,527,104 (2024: HK$891,261).</w:t>
      </w:r>
    </w:p>
    <w:p>
      <w:pPr>
        <w:spacing w:after="0" w:line="71" w:lineRule="exact"/>
        <w:rPr>
          <w:rFonts w:ascii="Times New Roman" w:cs="Times New Roman" w:eastAsia="Times New Roman" w:hAnsi="Times New Roman"/>
          <w:sz w:val="18"/>
          <w:szCs w:val="18"/>
          <w:color w:val="auto"/>
        </w:rPr>
      </w:pPr>
    </w:p>
    <w:p>
      <w:pPr>
        <w:ind w:left="8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sensitivity analysis is made as the foreign exchange exposure is considered to be minimal. As HK$ is pegged to US$ and closely aligned to RMB, the management of the Group thus considers the Group's foreign currency exposure is not significant.</w:t>
      </w:r>
    </w:p>
    <w:p>
      <w:pPr>
        <w:spacing w:after="0" w:line="49"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risk and impairment assessment</w:t>
      </w:r>
    </w:p>
    <w:p>
      <w:pPr>
        <w:spacing w:after="0" w:line="121" w:lineRule="exact"/>
        <w:rPr>
          <w:rFonts w:ascii="Times New Roman" w:cs="Times New Roman" w:eastAsia="Times New Roman" w:hAnsi="Times New Roman"/>
          <w:sz w:val="18"/>
          <w:szCs w:val="18"/>
          <w:color w:val="auto"/>
        </w:rPr>
      </w:pPr>
    </w:p>
    <w:p>
      <w:pPr>
        <w:jc w:val="both"/>
        <w:ind w:left="8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refers to the risk that the Group's counterparties default on their contractual obligations resulting in financial losses to the Group. The Group's credit risk exposures are primarily attributable to deposits and other receivables, cash and cash equivalents and bank deposits with more than three months to maturity. The Group does not hold any collateral or other credit enhancements to cover its credit risks associated with its financial assets.</w:t>
      </w:r>
    </w:p>
    <w:p>
      <w:pPr>
        <w:spacing w:after="0" w:line="69"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Trade receivables</w:t>
      </w:r>
    </w:p>
    <w:p>
      <w:pPr>
        <w:spacing w:after="0" w:line="119" w:lineRule="exact"/>
        <w:rPr>
          <w:rFonts w:ascii="Times New Roman" w:cs="Times New Roman" w:eastAsia="Times New Roman" w:hAnsi="Times New Roman"/>
          <w:sz w:val="18"/>
          <w:szCs w:val="18"/>
          <w:color w:val="auto"/>
        </w:rPr>
      </w:pPr>
    </w:p>
    <w:p>
      <w:pPr>
        <w:jc w:val="both"/>
        <w:ind w:left="8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exposure to credit risk is influenced mainly by the individual characteristics of each customer. At December 31, 2025, the Group assessed the ECL for trade receivables with gross carrying amount of HK$166,068 (2024: HK$Nil) are insignificant and thus no loss allowance is recognized.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18</w:t>
        <w:tab/>
        <w:t>Financial instruments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20" w:right="5940" w:hanging="407"/>
        <w:spacing w:after="0" w:line="397" w:lineRule="auto"/>
        <w:tabs>
          <w:tab w:leader="none" w:pos="81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Financial risk management objectives and policies - continued </w:t>
      </w:r>
      <w:r>
        <w:rPr>
          <w:rFonts w:ascii="Times New Roman" w:cs="Times New Roman" w:eastAsia="Times New Roman" w:hAnsi="Times New Roman"/>
          <w:sz w:val="17"/>
          <w:szCs w:val="17"/>
          <w:b w:val="1"/>
          <w:bCs w:val="1"/>
          <w:color w:val="auto"/>
        </w:rPr>
        <w:t xml:space="preserve">Credit risk and impairment assessment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Group's internal credit risk grading assessment comprises the following categories:</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Internal credit</w:t>
            </w:r>
          </w:p>
        </w:tc>
        <w:tc>
          <w:tcPr>
            <w:tcW w:w="53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p>
        </w:tc>
      </w:tr>
      <w:tr>
        <w:trPr>
          <w:trHeight w:val="27"/>
        </w:trPr>
        <w:tc>
          <w:tcPr>
            <w:tcW w:w="13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5"/>
        </w:trPr>
        <w:tc>
          <w:tcPr>
            <w:tcW w:w="1380" w:type="dxa"/>
            <w:vAlign w:val="bottom"/>
            <w:shd w:val="clear" w:color="auto" w:fill="CCEEFF"/>
          </w:tcPr>
          <w:p>
            <w:pPr>
              <w:spacing w:after="0"/>
              <w:rPr>
                <w:sz w:val="19"/>
                <w:szCs w:val="19"/>
                <w:color w:val="auto"/>
              </w:rPr>
            </w:pPr>
          </w:p>
        </w:tc>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counterparty has a low risk of default and does not have any past-</w:t>
            </w:r>
          </w:p>
        </w:tc>
        <w:tc>
          <w:tcPr>
            <w:tcW w:w="2060" w:type="dxa"/>
            <w:vAlign w:val="bottom"/>
            <w:shd w:val="clear" w:color="auto" w:fill="CCEEFF"/>
          </w:tcPr>
          <w:p>
            <w:pPr>
              <w:spacing w:after="0"/>
              <w:rPr>
                <w:sz w:val="19"/>
                <w:szCs w:val="19"/>
                <w:color w:val="auto"/>
              </w:rPr>
            </w:pPr>
          </w:p>
        </w:tc>
      </w:tr>
      <w:tr>
        <w:trPr>
          <w:trHeight w:val="241"/>
        </w:trPr>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 risk</w:t>
            </w:r>
          </w:p>
        </w:tc>
        <w:tc>
          <w:tcPr>
            <w:tcW w:w="5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amounts</w:t>
            </w:r>
          </w:p>
        </w:tc>
        <w:tc>
          <w:tcPr>
            <w:tcW w:w="2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12m ECL</w:t>
            </w:r>
          </w:p>
        </w:tc>
      </w:tr>
      <w:tr>
        <w:trPr>
          <w:trHeight w:val="24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Watch list</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Debtor frequently repays after due dates but usually settle in full</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12m ECL</w:t>
            </w:r>
          </w:p>
        </w:tc>
      </w:tr>
      <w:tr>
        <w:trPr>
          <w:trHeight w:val="27"/>
        </w:trPr>
        <w:tc>
          <w:tcPr>
            <w:tcW w:w="13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5"/>
        </w:trPr>
        <w:tc>
          <w:tcPr>
            <w:tcW w:w="1380" w:type="dxa"/>
            <w:vAlign w:val="bottom"/>
            <w:shd w:val="clear" w:color="auto" w:fill="CCEEFF"/>
          </w:tcPr>
          <w:p>
            <w:pPr>
              <w:spacing w:after="0"/>
              <w:rPr>
                <w:sz w:val="19"/>
                <w:szCs w:val="19"/>
                <w:color w:val="auto"/>
              </w:rPr>
            </w:pPr>
          </w:p>
        </w:tc>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 have been significant increases in credit risk since initial</w:t>
            </w:r>
          </w:p>
        </w:tc>
        <w:tc>
          <w:tcPr>
            <w:tcW w:w="2060" w:type="dxa"/>
            <w:vAlign w:val="bottom"/>
            <w:shd w:val="clear" w:color="auto" w:fill="CCEEFF"/>
          </w:tcPr>
          <w:p>
            <w:pPr>
              <w:spacing w:after="0"/>
              <w:rPr>
                <w:sz w:val="19"/>
                <w:szCs w:val="19"/>
                <w:color w:val="auto"/>
              </w:rPr>
            </w:pPr>
          </w:p>
        </w:tc>
      </w:tr>
      <w:tr>
        <w:trPr>
          <w:trHeight w:val="216"/>
        </w:trPr>
        <w:tc>
          <w:tcPr>
            <w:tcW w:w="1380" w:type="dxa"/>
            <w:vAlign w:val="bottom"/>
            <w:shd w:val="clear" w:color="auto" w:fill="CCEEFF"/>
          </w:tcPr>
          <w:p>
            <w:pPr>
              <w:spacing w:after="0"/>
              <w:rPr>
                <w:sz w:val="18"/>
                <w:szCs w:val="18"/>
                <w:color w:val="auto"/>
              </w:rPr>
            </w:pPr>
          </w:p>
        </w:tc>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recognition through information developed internally or external</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Lifetime ECL - not credit-</w:t>
            </w:r>
          </w:p>
        </w:tc>
      </w:tr>
      <w:tr>
        <w:trPr>
          <w:trHeight w:val="241"/>
        </w:trPr>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Doubtful</w:t>
            </w:r>
          </w:p>
        </w:tc>
        <w:tc>
          <w:tcPr>
            <w:tcW w:w="5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resources</w:t>
            </w:r>
          </w:p>
        </w:tc>
        <w:tc>
          <w:tcPr>
            <w:tcW w:w="2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impaired</w:t>
            </w:r>
          </w:p>
        </w:tc>
      </w:tr>
      <w:tr>
        <w:trPr>
          <w:trHeight w:val="225"/>
        </w:trPr>
        <w:tc>
          <w:tcPr>
            <w:tcW w:w="13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Lifetime ECL - credit-</w:t>
            </w: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There is evidence indicating the asset is credit-impaired</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impaired</w:t>
            </w:r>
          </w:p>
        </w:tc>
      </w:tr>
      <w:tr>
        <w:trPr>
          <w:trHeight w:val="27"/>
        </w:trPr>
        <w:tc>
          <w:tcPr>
            <w:tcW w:w="13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5"/>
        </w:trPr>
        <w:tc>
          <w:tcPr>
            <w:tcW w:w="1380" w:type="dxa"/>
            <w:vAlign w:val="bottom"/>
            <w:shd w:val="clear" w:color="auto" w:fill="CCEEFF"/>
          </w:tcPr>
          <w:p>
            <w:pPr>
              <w:spacing w:after="0"/>
              <w:rPr>
                <w:sz w:val="19"/>
                <w:szCs w:val="19"/>
                <w:color w:val="auto"/>
              </w:rPr>
            </w:pPr>
          </w:p>
        </w:tc>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 is evidence indicating that the debtor is in severe financial</w:t>
            </w:r>
          </w:p>
        </w:tc>
        <w:tc>
          <w:tcPr>
            <w:tcW w:w="2060" w:type="dxa"/>
            <w:vAlign w:val="bottom"/>
            <w:shd w:val="clear" w:color="auto" w:fill="CCEEFF"/>
          </w:tcPr>
          <w:p>
            <w:pPr>
              <w:spacing w:after="0"/>
              <w:rPr>
                <w:sz w:val="19"/>
                <w:szCs w:val="19"/>
                <w:color w:val="auto"/>
              </w:rPr>
            </w:pPr>
          </w:p>
        </w:tc>
      </w:tr>
      <w:tr>
        <w:trPr>
          <w:trHeight w:val="234"/>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w:t>
            </w:r>
          </w:p>
        </w:tc>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difficulty and the Group has no realistic prospect of recovery</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Amount is written off</w:t>
            </w:r>
          </w:p>
        </w:tc>
      </w:tr>
      <w:tr>
        <w:trPr>
          <w:trHeight w:val="27"/>
        </w:trPr>
        <w:tc>
          <w:tcPr>
            <w:tcW w:w="138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Deposits and other receivable</w:t>
      </w:r>
    </w:p>
    <w:p>
      <w:pPr>
        <w:spacing w:after="0" w:line="119"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For deposits and other receivables, the management makes periodic individual assessment on the recoverability of deposits and other receivables based on historical settlement records, past experience, and also quantitative and qualitative information that is reasonable and supportive forward-looking information. The management believes that there are no significant increase in credit risk of these amounts since initial recognition and the Group provided impairment based on 12m ECL. As at December 31, 2025, the Group assessed the ECL for deposits and other receivables with gross carrying amount of HK$4,063,825 (2024: HK$1,945,968) are insignificant and thus no loss allowance is recognized.</w:t>
      </w: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Amounts due from related companies</w:t>
      </w:r>
    </w:p>
    <w:p>
      <w:pPr>
        <w:spacing w:after="0" w:line="119"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 Group regularly monitors the business performance of related companies. The Group's credit risks in the balance are mitigated through the value of the assets held by the entity. The directors of the Group believe that there is no significant increase in credit risk of the amounts since initial recognition and the Group provided impairment based on 12m ECL. As at December 31, 2025, the Group assessed the ECL for amounts due from related companies with gross carrying amount of HK$335,763 (2024: HK$138,171) are insignificant and thus no loss allowance is recognized.</w:t>
      </w:r>
    </w:p>
    <w:p>
      <w:pPr>
        <w:spacing w:after="0" w:line="7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Bank balances (including bank deposits)</w:t>
      </w:r>
    </w:p>
    <w:p>
      <w:pPr>
        <w:spacing w:after="0" w:line="119"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As at December 31, 2025, the credit risk on bank balances is limited because the counterparties are reputable banks with high credit ratings assigned by international credit agencies. The Group assessed 12m ECL for bank balances by reference to information relating to probability of default and loss given default of the respective credit rating grades published by external credit rating agencies. Based on the average loss rates, the 12m ECL on bank balances and bank deposits with gross carrying amount of HK$622,183,633 (2024: HK$629,407,636) is considered to be insignificant and therefore no loss allowance was recognized.</w:t>
      </w:r>
    </w:p>
    <w:p>
      <w:pPr>
        <w:spacing w:after="0" w:line="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In the management of the liquidity risk, the Group monitors and maintains a level of cash and cash equivalents deemed adequate by the management to finance the Group's operations and mitigate the effects of fluctuations in cash flows.</w:t>
      </w:r>
    </w:p>
    <w:p>
      <w:pPr>
        <w:spacing w:after="0" w:line="54"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Group's remaining contractual maturity for its financial liabilities. The table has been drawn up based on the undiscounted cash flows of financial liabilities based on the earliest date on which the Group can be required to pay.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7" w:lineRule="exact"/>
        <w:rPr>
          <w:rFonts w:ascii="Times New Roman" w:cs="Times New Roman" w:eastAsia="Times New Roman" w:hAnsi="Times New Roman"/>
          <w:sz w:val="18"/>
          <w:szCs w:val="18"/>
          <w:b w:val="1"/>
          <w:bCs w:val="1"/>
          <w:color w:val="auto"/>
        </w:rPr>
      </w:pPr>
    </w:p>
    <w:p>
      <w:pPr>
        <w:ind w:left="820" w:right="5920" w:hanging="407"/>
        <w:spacing w:after="0" w:line="399" w:lineRule="auto"/>
        <w:tabs>
          <w:tab w:leader="none" w:pos="8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risk management objectives and policies - continued </w:t>
      </w:r>
      <w:r>
        <w:rPr>
          <w:rFonts w:ascii="Times New Roman" w:cs="Times New Roman" w:eastAsia="Times New Roman" w:hAnsi="Times New Roman"/>
          <w:sz w:val="18"/>
          <w:szCs w:val="18"/>
          <w:b w:val="1"/>
          <w:bCs w:val="1"/>
          <w:color w:val="auto"/>
        </w:rPr>
        <w:t xml:space="preserve">Liquidity risk </w:t>
      </w:r>
      <w:r>
        <w:rPr>
          <w:rFonts w:ascii="Times New Roman" w:cs="Times New Roman" w:eastAsia="Times New Roman" w:hAnsi="Times New Roman"/>
          <w:sz w:val="18"/>
          <w:szCs w:val="18"/>
          <w:color w:val="auto"/>
        </w:rPr>
        <w:t>- continued</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Repayable on</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w w:val="97"/>
              </w:rPr>
              <w:t>Total</w:t>
            </w:r>
          </w:p>
        </w:tc>
        <w:tc>
          <w:tcPr>
            <w:tcW w:w="11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32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average interest</w:t>
            </w:r>
          </w:p>
        </w:tc>
        <w:tc>
          <w:tcPr>
            <w:tcW w:w="12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w w:val="99"/>
              </w:rPr>
              <w:t>demand or less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undiscounted</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660" w:type="dxa"/>
            <w:vAlign w:val="bottom"/>
          </w:tcPr>
          <w:p>
            <w:pPr>
              <w:spacing w:after="0"/>
              <w:rPr>
                <w:sz w:val="20"/>
                <w:szCs w:val="20"/>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than 1 year</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1 - 2 years</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2 - 5 years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w w:val="98"/>
              </w:rPr>
              <w:t>cash flow</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124,845</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124,845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124,845</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due to a related company</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2,274,399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2,274,399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2,274,399</w:t>
            </w:r>
          </w:p>
        </w:tc>
        <w:tc>
          <w:tcPr>
            <w:tcW w:w="0" w:type="dxa"/>
            <w:vAlign w:val="bottom"/>
          </w:tcPr>
          <w:p>
            <w:pPr>
              <w:spacing w:after="0"/>
              <w:rPr>
                <w:sz w:val="1"/>
                <w:szCs w:val="1"/>
                <w:color w:val="auto"/>
              </w:rPr>
            </w:pPr>
          </w:p>
        </w:tc>
      </w:tr>
      <w:tr>
        <w:trPr>
          <w:trHeight w:val="204"/>
        </w:trPr>
        <w:tc>
          <w:tcPr>
            <w:tcW w:w="2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2,399,244</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2,399,244</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2,399,244</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1,382,010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955,923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769,988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3,107,921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2,971,195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due to a related company</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9,159,071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9,159,071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9,159,071</w:t>
            </w:r>
          </w:p>
        </w:tc>
        <w:tc>
          <w:tcPr>
            <w:tcW w:w="0" w:type="dxa"/>
            <w:vAlign w:val="bottom"/>
          </w:tcPr>
          <w:p>
            <w:pPr>
              <w:spacing w:after="0"/>
              <w:rPr>
                <w:sz w:val="1"/>
                <w:szCs w:val="1"/>
                <w:color w:val="auto"/>
              </w:rPr>
            </w:pPr>
          </w:p>
        </w:tc>
      </w:tr>
      <w:tr>
        <w:trPr>
          <w:trHeight w:val="204"/>
        </w:trPr>
        <w:tc>
          <w:tcPr>
            <w:tcW w:w="2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9,162,827</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9,162,827</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9,162,827</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4.74 %</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1,169,339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474,720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39,560</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1,683,619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1,613,905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tabs>
          <w:tab w:leader="none" w:pos="78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Fair value measurements of financial instruments</w:t>
      </w:r>
    </w:p>
    <w:p>
      <w:pPr>
        <w:spacing w:after="0" w:line="117"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The fair values of financial assets and financial liabilities are determined in accordance with generally accepted pricing models based on discounted cash flow analysis.</w:t>
      </w:r>
    </w:p>
    <w:p>
      <w:pPr>
        <w:spacing w:after="0" w:line="54"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The directors of the Company consider that the carrying amounts of all financial assets and financial liabilities recorded at amortized cost in the consolidated financial statements approximate their fair values.</w:t>
      </w:r>
    </w:p>
    <w:p>
      <w:pPr>
        <w:spacing w:after="0" w:line="200" w:lineRule="exact"/>
        <w:rPr>
          <w:sz w:val="20"/>
          <w:szCs w:val="20"/>
          <w:color w:val="auto"/>
        </w:rPr>
      </w:pPr>
    </w:p>
    <w:p>
      <w:pPr>
        <w:spacing w:after="0" w:line="20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21" w:lineRule="exact"/>
        <w:rPr>
          <w:sz w:val="20"/>
          <w:szCs w:val="20"/>
          <w:color w:val="auto"/>
        </w:rPr>
      </w:pPr>
    </w:p>
    <w:p>
      <w:pPr>
        <w:ind w:left="420" w:right="660"/>
        <w:spacing w:after="0" w:line="282" w:lineRule="auto"/>
        <w:rPr>
          <w:sz w:val="20"/>
          <w:szCs w:val="20"/>
          <w:color w:val="auto"/>
        </w:rPr>
      </w:pPr>
      <w:r>
        <w:rPr>
          <w:rFonts w:ascii="Times New Roman" w:cs="Times New Roman" w:eastAsia="Times New Roman" w:hAnsi="Times New Roman"/>
          <w:sz w:val="18"/>
          <w:szCs w:val="18"/>
          <w:color w:val="auto"/>
        </w:rPr>
        <w:t>Other than as disclosed elsewhere in these consolidated financial statements, the Group has the following material transactions with a related company:</w:t>
      </w:r>
    </w:p>
    <w:p>
      <w:pPr>
        <w:spacing w:after="0" w:line="104"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Nature of transactions</w:t>
            </w:r>
          </w:p>
        </w:tc>
        <w:tc>
          <w:tcPr>
            <w:tcW w:w="380" w:type="dxa"/>
            <w:vAlign w:val="bottom"/>
          </w:tcPr>
          <w:p>
            <w:pPr>
              <w:spacing w:after="0"/>
              <w:rPr>
                <w:sz w:val="18"/>
                <w:szCs w:val="18"/>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r>
      <w:tr>
        <w:trPr>
          <w:trHeight w:val="34"/>
        </w:trPr>
        <w:tc>
          <w:tcPr>
            <w:tcW w:w="1600" w:type="dxa"/>
            <w:vAlign w:val="bottom"/>
            <w:tcBorders>
              <w:top w:val="single" w:sz="8" w:color="auto"/>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and management service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468,000</w:t>
            </w:r>
          </w:p>
        </w:tc>
      </w:tr>
      <w:tr>
        <w:trPr>
          <w:trHeight w:val="25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expense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service income</w:t>
            </w: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238,328</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Details of the balances with related parties are set out in the Group's consolidated statement of financial position on page 5 and in note 15.</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Compensation of key management personnel</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remuneration of the directors of the Company during the year is set out in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20</w:t>
        <w:tab/>
        <w:t>Reconciliation of liabilities arising from financing activities</w:t>
      </w:r>
    </w:p>
    <w:p>
      <w:pPr>
        <w:spacing w:after="0" w:line="121" w:lineRule="exact"/>
        <w:rPr>
          <w:sz w:val="20"/>
          <w:szCs w:val="20"/>
          <w:color w:val="auto"/>
        </w:rPr>
      </w:pPr>
    </w:p>
    <w:p>
      <w:pPr>
        <w:ind w:left="420" w:right="280"/>
        <w:spacing w:after="0" w:line="266" w:lineRule="auto"/>
        <w:rPr>
          <w:sz w:val="20"/>
          <w:szCs w:val="20"/>
          <w:color w:val="auto"/>
        </w:rPr>
      </w:pPr>
      <w:r>
        <w:rPr>
          <w:rFonts w:ascii="Times New Roman" w:cs="Times New Roman" w:eastAsia="Times New Roman" w:hAnsi="Times New Roman"/>
          <w:sz w:val="18"/>
          <w:szCs w:val="18"/>
          <w:color w:val="auto"/>
        </w:rPr>
        <w:t>The table below details changes in the Group's liabilities arising from financing activities, including both cash and non-cash changes. Liabilities arising from financing activities are those for which cash flows were, or the future cash flows will be, classified in the Group's consolidated statements of cash flows from financing activities.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i w:val="1"/>
                <w:iCs w:val="1"/>
                <w:color w:val="auto"/>
              </w:rPr>
              <w:t>Amount due to a</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w w:val="98"/>
              </w:rPr>
              <w:t>Lease liabilities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i w:val="1"/>
                <w:iCs w:val="1"/>
                <w:color w:val="auto"/>
              </w:rPr>
              <w:t>related company</w:t>
            </w:r>
          </w:p>
        </w:tc>
        <w:tc>
          <w:tcPr>
            <w:tcW w:w="140" w:type="dxa"/>
            <w:vAlign w:val="bottom"/>
          </w:tcPr>
          <w:p>
            <w:pPr>
              <w:spacing w:after="0"/>
              <w:rPr>
                <w:sz w:val="20"/>
                <w:szCs w:val="20"/>
                <w:color w:val="auto"/>
              </w:rPr>
            </w:pPr>
          </w:p>
        </w:tc>
        <w:tc>
          <w:tcPr>
            <w:tcW w:w="18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at January 1, 2024</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3,617,693</w:t>
            </w:r>
          </w:p>
        </w:tc>
        <w:tc>
          <w:tcPr>
            <w:tcW w:w="480" w:type="dxa"/>
            <w:vAlign w:val="bottom"/>
            <w:tcBorders>
              <w:bottom w:val="single" w:sz="8" w:color="CCEEFF"/>
            </w:tcBorders>
            <w:gridSpan w:val="3"/>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7,668,097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11,285,790</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148,491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148,491</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1,240,309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(1,301,053)</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lease entered</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1,114,252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1,114,252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of lease contract</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(754,965)</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adjustments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250,665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280,461</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at December 31, 2024</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9,159,071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10,772,976</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59,409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59,409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(3,292,674)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(4,621,972)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lease entered</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2,557,828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2,557,828</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2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Waiver of amount due to a related company</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(3,591,998)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(3,591,998)</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adjustments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69,351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69,351</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at December 31, 2025</w:t>
            </w:r>
          </w:p>
        </w:tc>
        <w:tc>
          <w:tcPr>
            <w:tcW w:w="4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2,971,195</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2,274,399</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5,245,594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21  Particulars of subsidiaries</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08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220" w:type="dxa"/>
            <w:vAlign w:val="bottom"/>
            <w:gridSpan w:val="16"/>
          </w:tcPr>
          <w:p>
            <w:pPr>
              <w:jc w:val="right"/>
              <w:ind w:right="430"/>
              <w:spacing w:after="0"/>
              <w:rPr>
                <w:sz w:val="20"/>
                <w:szCs w:val="20"/>
                <w:color w:val="auto"/>
              </w:rPr>
            </w:pPr>
            <w:r>
              <w:rPr>
                <w:rFonts w:ascii="Times New Roman" w:cs="Times New Roman" w:eastAsia="Times New Roman" w:hAnsi="Times New Roman"/>
                <w:sz w:val="18"/>
                <w:szCs w:val="18"/>
                <w:color w:val="auto"/>
              </w:rPr>
              <w:t>Particulars of the Company's subsidiaries at the end of the reporting period are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660" w:type="dxa"/>
            <w:vAlign w:val="bottom"/>
            <w:gridSpan w:val="5"/>
            <w:vMerge w:val="restart"/>
          </w:tcPr>
          <w:p>
            <w:pPr>
              <w:jc w:val="center"/>
              <w:ind w:left="113"/>
              <w:spacing w:after="0"/>
              <w:rPr>
                <w:sz w:val="20"/>
                <w:szCs w:val="20"/>
                <w:color w:val="auto"/>
              </w:rPr>
            </w:pPr>
            <w:r>
              <w:rPr>
                <w:rFonts w:ascii="Times New Roman" w:cs="Times New Roman" w:eastAsia="Times New Roman" w:hAnsi="Times New Roman"/>
                <w:sz w:val="16"/>
                <w:szCs w:val="16"/>
                <w:b w:val="1"/>
                <w:bCs w:val="1"/>
                <w:color w:val="auto"/>
              </w:rPr>
              <w:t>Issued and fully paid</w:t>
            </w:r>
          </w:p>
        </w:tc>
        <w:tc>
          <w:tcPr>
            <w:tcW w:w="2700" w:type="dxa"/>
            <w:vAlign w:val="bottom"/>
            <w:gridSpan w:val="11"/>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rPr>
              <w:t>Proportion of issued and fully paid</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tcBorders>
              <w:top w:val="single" w:sz="8" w:color="auto"/>
            </w:tcBorders>
            <w:gridSpan w:val="9"/>
          </w:tcPr>
          <w:p>
            <w:pPr>
              <w:jc w:val="center"/>
              <w:ind w:right="20"/>
              <w:spacing w:after="0" w:line="169" w:lineRule="exact"/>
              <w:rPr>
                <w:sz w:val="20"/>
                <w:szCs w:val="20"/>
                <w:color w:val="auto"/>
              </w:rPr>
            </w:pPr>
            <w:r>
              <w:rPr>
                <w:rFonts w:ascii="Times New Roman" w:cs="Times New Roman" w:eastAsia="Times New Roman" w:hAnsi="Times New Roman"/>
                <w:sz w:val="16"/>
                <w:szCs w:val="16"/>
                <w:b w:val="1"/>
                <w:bCs w:val="1"/>
                <w:color w:val="auto"/>
              </w:rPr>
              <w:t>ordinary shares held by the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88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Name of subsidiary</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73"/>
              </w:rPr>
              <w:t>incorporation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ordinary share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4"/>
          </w:tcPr>
          <w:p>
            <w:pPr>
              <w:jc w:val="center"/>
              <w:ind w:right="511"/>
              <w:spacing w:after="0" w:line="155" w:lineRule="exact"/>
              <w:rPr>
                <w:sz w:val="20"/>
                <w:szCs w:val="20"/>
                <w:color w:val="auto"/>
              </w:rPr>
            </w:pPr>
            <w:r>
              <w:rPr>
                <w:rFonts w:ascii="Times New Roman" w:cs="Times New Roman" w:eastAsia="Times New Roman" w:hAnsi="Times New Roman"/>
                <w:sz w:val="16"/>
                <w:szCs w:val="16"/>
                <w:b w:val="1"/>
                <w:bCs w:val="1"/>
                <w:color w:val="auto"/>
              </w:rPr>
              <w:t>Company</w:t>
            </w:r>
          </w:p>
        </w:tc>
        <w:tc>
          <w:tcPr>
            <w:tcW w:w="32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Principal activity</w:t>
            </w:r>
          </w:p>
        </w:tc>
        <w:tc>
          <w:tcPr>
            <w:tcW w:w="0" w:type="dxa"/>
            <w:vAlign w:val="bottom"/>
          </w:tcPr>
          <w:p>
            <w:pPr>
              <w:spacing w:after="0"/>
              <w:rPr>
                <w:sz w:val="1"/>
                <w:szCs w:val="1"/>
                <w:color w:val="auto"/>
              </w:rPr>
            </w:pPr>
          </w:p>
        </w:tc>
      </w:tr>
      <w:tr>
        <w:trPr>
          <w:trHeight w:val="251"/>
        </w:trPr>
        <w:tc>
          <w:tcPr>
            <w:tcW w:w="2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0" w:type="dxa"/>
            <w:vAlign w:val="bottom"/>
          </w:tcPr>
          <w:p>
            <w:pPr>
              <w:spacing w:after="0"/>
              <w:rPr>
                <w:sz w:val="21"/>
                <w:szCs w:val="21"/>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Directly held:</w:t>
            </w: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Insighta Limited</w:t>
            </w: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HKD10,000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gridSpan w:val="3"/>
          </w:tcPr>
          <w:p>
            <w:pPr>
              <w:jc w:val="center"/>
              <w:ind w:right="70"/>
              <w:spacing w:after="0"/>
              <w:rPr>
                <w:sz w:val="20"/>
                <w:szCs w:val="20"/>
                <w:color w:val="auto"/>
              </w:rPr>
            </w:pPr>
            <w:r>
              <w:rPr>
                <w:rFonts w:ascii="Times New Roman" w:cs="Times New Roman" w:eastAsia="Times New Roman" w:hAnsi="Times New Roman"/>
                <w:sz w:val="16"/>
                <w:szCs w:val="16"/>
                <w:color w:val="auto"/>
                <w:w w:val="99"/>
              </w:rPr>
              <w:t>100</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7"/>
                <w:szCs w:val="17"/>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Biotechnology research and</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holding</w:t>
            </w:r>
          </w:p>
        </w:tc>
        <w:tc>
          <w:tcPr>
            <w:tcW w:w="0" w:type="dxa"/>
            <w:vAlign w:val="bottom"/>
          </w:tcPr>
          <w:p>
            <w:pPr>
              <w:spacing w:after="0"/>
              <w:rPr>
                <w:sz w:val="1"/>
                <w:szCs w:val="1"/>
                <w:color w:val="auto"/>
              </w:rPr>
            </w:pPr>
          </w:p>
        </w:tc>
      </w:tr>
      <w:tr>
        <w:trPr>
          <w:trHeight w:val="33"/>
        </w:trPr>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0" w:type="dxa"/>
            <w:vAlign w:val="bottom"/>
          </w:tcPr>
          <w:p>
            <w:pPr>
              <w:spacing w:after="0"/>
              <w:rPr>
                <w:sz w:val="21"/>
                <w:szCs w:val="21"/>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Indirectly held:</w:t>
            </w: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2880" w:type="dxa"/>
            <w:vAlign w:val="bottom"/>
            <w:gridSpan w:val="3"/>
          </w:tcPr>
          <w:p>
            <w:pPr>
              <w:spacing w:after="0" w:line="195" w:lineRule="exact"/>
              <w:rPr>
                <w:sz w:val="20"/>
                <w:szCs w:val="20"/>
                <w:color w:val="auto"/>
              </w:rPr>
            </w:pPr>
            <w:r>
              <w:rPr>
                <w:rFonts w:ascii="SimSun" w:cs="SimSun" w:eastAsia="SimSun" w:hAnsi="SimSun"/>
                <w:sz w:val="16"/>
                <w:szCs w:val="16"/>
                <w:color w:val="auto"/>
              </w:rPr>
              <w:t>明察康健</w:t>
            </w:r>
            <w:r>
              <w:rPr>
                <w:rFonts w:ascii="Times New Roman" w:cs="Times New Roman" w:eastAsia="Times New Roman" w:hAnsi="Times New Roman"/>
                <w:sz w:val="16"/>
                <w:szCs w:val="16"/>
                <w:color w:val="auto"/>
              </w:rPr>
              <w:t>(</w:t>
            </w:r>
            <w:r>
              <w:rPr>
                <w:rFonts w:ascii="SimSun" w:cs="SimSun" w:eastAsia="SimSun" w:hAnsi="SimSun"/>
                <w:sz w:val="16"/>
                <w:szCs w:val="16"/>
                <w:color w:val="auto"/>
              </w:rPr>
              <w:t>深圳</w:t>
            </w:r>
            <w:r>
              <w:rPr>
                <w:rFonts w:ascii="Times New Roman" w:cs="Times New Roman" w:eastAsia="Times New Roman" w:hAnsi="Times New Roman"/>
                <w:sz w:val="16"/>
                <w:szCs w:val="16"/>
                <w:color w:val="auto"/>
              </w:rPr>
              <w:t>)</w:t>
            </w:r>
            <w:r>
              <w:rPr>
                <w:rFonts w:ascii="SimSun" w:cs="SimSun" w:eastAsia="SimSun" w:hAnsi="SimSun"/>
                <w:sz w:val="16"/>
                <w:szCs w:val="16"/>
                <w:color w:val="auto"/>
              </w:rPr>
              <w:t>科技有限责任公司</w:t>
            </w: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The PRC</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CNY10,000,000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gridSpan w:val="3"/>
          </w:tcPr>
          <w:p>
            <w:pPr>
              <w:jc w:val="center"/>
              <w:ind w:right="70"/>
              <w:spacing w:after="0"/>
              <w:rPr>
                <w:sz w:val="20"/>
                <w:szCs w:val="20"/>
                <w:color w:val="auto"/>
              </w:rPr>
            </w:pPr>
            <w:r>
              <w:rPr>
                <w:rFonts w:ascii="Times New Roman" w:cs="Times New Roman" w:eastAsia="Times New Roman" w:hAnsi="Times New Roman"/>
                <w:sz w:val="16"/>
                <w:szCs w:val="16"/>
                <w:color w:val="auto"/>
                <w:w w:val="99"/>
              </w:rPr>
              <w:t>100</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Dormant</w:t>
            </w:r>
          </w:p>
        </w:tc>
        <w:tc>
          <w:tcPr>
            <w:tcW w:w="0" w:type="dxa"/>
            <w:vAlign w:val="bottom"/>
          </w:tcPr>
          <w:p>
            <w:pPr>
              <w:spacing w:after="0"/>
              <w:rPr>
                <w:sz w:val="1"/>
                <w:szCs w:val="1"/>
                <w:color w:val="auto"/>
              </w:rPr>
            </w:pPr>
          </w:p>
        </w:tc>
      </w:tr>
      <w:tr>
        <w:trPr>
          <w:trHeight w:val="253"/>
        </w:trPr>
        <w:tc>
          <w:tcPr>
            <w:tcW w:w="200" w:type="dxa"/>
            <w:vAlign w:val="bottom"/>
          </w:tcPr>
          <w:p>
            <w:pPr>
              <w:spacing w:after="0"/>
              <w:rPr>
                <w:sz w:val="21"/>
                <w:szCs w:val="21"/>
                <w:color w:val="auto"/>
              </w:rPr>
            </w:pPr>
          </w:p>
        </w:tc>
        <w:tc>
          <w:tcPr>
            <w:tcW w:w="2880" w:type="dxa"/>
            <w:vAlign w:val="bottom"/>
            <w:gridSpan w:val="3"/>
            <w:shd w:val="clear" w:color="auto" w:fill="CCEEFF"/>
          </w:tcPr>
          <w:p>
            <w:pPr>
              <w:spacing w:after="0" w:line="195" w:lineRule="exact"/>
              <w:rPr>
                <w:sz w:val="20"/>
                <w:szCs w:val="20"/>
                <w:color w:val="auto"/>
              </w:rPr>
            </w:pPr>
            <w:r>
              <w:rPr>
                <w:rFonts w:ascii="SimSun" w:cs="SimSun" w:eastAsia="SimSun" w:hAnsi="SimSun"/>
                <w:sz w:val="16"/>
                <w:szCs w:val="16"/>
                <w:color w:val="auto"/>
              </w:rPr>
              <w:t>得易健康产业</w:t>
            </w:r>
            <w:r>
              <w:rPr>
                <w:rFonts w:ascii="Times New Roman" w:cs="Times New Roman" w:eastAsia="Times New Roman" w:hAnsi="Times New Roman"/>
                <w:sz w:val="16"/>
                <w:szCs w:val="16"/>
                <w:color w:val="auto"/>
              </w:rPr>
              <w:t>(</w:t>
            </w:r>
            <w:r>
              <w:rPr>
                <w:rFonts w:ascii="SimSun" w:cs="SimSun" w:eastAsia="SimSun" w:hAnsi="SimSun"/>
                <w:sz w:val="16"/>
                <w:szCs w:val="16"/>
                <w:color w:val="auto"/>
              </w:rPr>
              <w:t>深圳</w:t>
            </w:r>
            <w:r>
              <w:rPr>
                <w:rFonts w:ascii="Times New Roman" w:cs="Times New Roman" w:eastAsia="Times New Roman" w:hAnsi="Times New Roman"/>
                <w:sz w:val="16"/>
                <w:szCs w:val="16"/>
                <w:color w:val="auto"/>
              </w:rPr>
              <w:t>)</w:t>
            </w:r>
            <w:r>
              <w:rPr>
                <w:rFonts w:ascii="SimSun" w:cs="SimSun" w:eastAsia="SimSun" w:hAnsi="SimSun"/>
                <w:sz w:val="16"/>
                <w:szCs w:val="16"/>
                <w:color w:val="auto"/>
              </w:rPr>
              <w:t>有限责任公司</w:t>
            </w:r>
          </w:p>
        </w:tc>
        <w:tc>
          <w:tcPr>
            <w:tcW w:w="16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The PRC</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CNY100,000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center"/>
              <w:ind w:right="70"/>
              <w:spacing w:after="0"/>
              <w:rPr>
                <w:sz w:val="20"/>
                <w:szCs w:val="20"/>
                <w:color w:val="auto"/>
              </w:rPr>
            </w:pPr>
            <w:r>
              <w:rPr>
                <w:rFonts w:ascii="Times New Roman" w:cs="Times New Roman" w:eastAsia="Times New Roman" w:hAnsi="Times New Roman"/>
                <w:sz w:val="16"/>
                <w:szCs w:val="16"/>
                <w:color w:val="auto"/>
                <w:w w:val="99"/>
              </w:rPr>
              <w:t>100</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Biotechnology research</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880" w:type="dxa"/>
            <w:vAlign w:val="bottom"/>
            <w:gridSpan w:val="3"/>
          </w:tcPr>
          <w:p>
            <w:pPr>
              <w:spacing w:after="0" w:line="195" w:lineRule="exact"/>
              <w:rPr>
                <w:sz w:val="20"/>
                <w:szCs w:val="20"/>
                <w:color w:val="auto"/>
              </w:rPr>
            </w:pPr>
            <w:r>
              <w:rPr>
                <w:rFonts w:ascii="SimSun" w:cs="SimSun" w:eastAsia="SimSun" w:hAnsi="SimSun"/>
                <w:sz w:val="16"/>
                <w:szCs w:val="16"/>
                <w:color w:val="auto"/>
              </w:rPr>
              <w:t>得易健康生物</w:t>
            </w:r>
            <w:r>
              <w:rPr>
                <w:rFonts w:ascii="Times New Roman" w:cs="Times New Roman" w:eastAsia="Times New Roman" w:hAnsi="Times New Roman"/>
                <w:sz w:val="16"/>
                <w:szCs w:val="16"/>
                <w:color w:val="auto"/>
              </w:rPr>
              <w:t>(</w:t>
            </w:r>
            <w:r>
              <w:rPr>
                <w:rFonts w:ascii="SimSun" w:cs="SimSun" w:eastAsia="SimSun" w:hAnsi="SimSun"/>
                <w:sz w:val="16"/>
                <w:szCs w:val="16"/>
                <w:color w:val="auto"/>
              </w:rPr>
              <w:t>广州</w:t>
            </w:r>
            <w:r>
              <w:rPr>
                <w:rFonts w:ascii="Times New Roman" w:cs="Times New Roman" w:eastAsia="Times New Roman" w:hAnsi="Times New Roman"/>
                <w:sz w:val="16"/>
                <w:szCs w:val="16"/>
                <w:color w:val="auto"/>
              </w:rPr>
              <w:t>)</w:t>
            </w:r>
            <w:r>
              <w:rPr>
                <w:rFonts w:ascii="SimSun" w:cs="SimSun" w:eastAsia="SimSun" w:hAnsi="SimSun"/>
                <w:sz w:val="16"/>
                <w:szCs w:val="16"/>
                <w:color w:val="auto"/>
              </w:rPr>
              <w:t>有限公司</w:t>
            </w: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The PRC</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CNY20,000,000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gridSpan w:val="3"/>
          </w:tcPr>
          <w:p>
            <w:pPr>
              <w:jc w:val="center"/>
              <w:ind w:right="70"/>
              <w:spacing w:after="0"/>
              <w:rPr>
                <w:sz w:val="20"/>
                <w:szCs w:val="20"/>
                <w:color w:val="auto"/>
              </w:rPr>
            </w:pPr>
            <w:r>
              <w:rPr>
                <w:rFonts w:ascii="Times New Roman" w:cs="Times New Roman" w:eastAsia="Times New Roman" w:hAnsi="Times New Roman"/>
                <w:sz w:val="16"/>
                <w:szCs w:val="16"/>
                <w:color w:val="auto"/>
                <w:w w:val="99"/>
              </w:rPr>
              <w:t>100</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9"/>
                <w:szCs w:val="19"/>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Biotechnology research</w:t>
            </w:r>
          </w:p>
        </w:tc>
        <w:tc>
          <w:tcPr>
            <w:tcW w:w="0" w:type="dxa"/>
            <w:vAlign w:val="bottom"/>
          </w:tcPr>
          <w:p>
            <w:pPr>
              <w:spacing w:after="0"/>
              <w:rPr>
                <w:sz w:val="1"/>
                <w:szCs w:val="1"/>
                <w:color w:val="auto"/>
              </w:rPr>
            </w:pPr>
          </w:p>
        </w:tc>
      </w:tr>
      <w:tr>
        <w:trPr>
          <w:trHeight w:val="1154"/>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center"/>
              <w:ind w:left="513"/>
              <w:spacing w:after="0"/>
              <w:rPr>
                <w:sz w:val="20"/>
                <w:szCs w:val="20"/>
                <w:color w:val="auto"/>
              </w:rPr>
            </w:pPr>
            <w:r>
              <w:rPr>
                <w:rFonts w:ascii="Times New Roman" w:cs="Times New Roman" w:eastAsia="Times New Roman" w:hAnsi="Times New Roman"/>
                <w:sz w:val="18"/>
                <w:szCs w:val="18"/>
                <w:color w:val="auto"/>
                <w:w w:val="99"/>
              </w:rPr>
              <w:t>28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225" w:right="5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 Section 302 of the Sarbanes-Oxley Act of 2002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Danny Sheng Wu Yeung, certify that:</w:t>
      </w:r>
    </w:p>
    <w:p>
      <w:pPr>
        <w:spacing w:after="0" w:line="293"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Form 20-F of Prenetics Global Limited;</w:t>
      </w:r>
    </w:p>
    <w:p>
      <w:pPr>
        <w:spacing w:after="0" w:line="157"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Times New Roman" w:cs="Times New Roman" w:eastAsia="Times New Roman" w:hAnsi="Times New Roman"/>
          <w:sz w:val="18"/>
          <w:szCs w:val="18"/>
          <w:color w:val="auto"/>
        </w:rPr>
      </w:pPr>
    </w:p>
    <w:p>
      <w:pPr>
        <w:ind w:right="80" w:firstLine="8"/>
        <w:spacing w:after="0" w:line="274" w:lineRule="auto"/>
        <w:tabs>
          <w:tab w:leader="none" w:pos="1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1" w:lineRule="exact"/>
        <w:rPr>
          <w:rFonts w:ascii="Times New Roman" w:cs="Times New Roman" w:eastAsia="Times New Roman" w:hAnsi="Times New Roman"/>
          <w:sz w:val="18"/>
          <w:szCs w:val="18"/>
          <w:color w:val="auto"/>
        </w:rPr>
      </w:pPr>
    </w:p>
    <w:p>
      <w:pPr>
        <w:ind w:right="120" w:firstLine="656"/>
        <w:spacing w:after="0" w:line="266" w:lineRule="auto"/>
        <w:tabs>
          <w:tab w:leader="none" w:pos="90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right="40" w:firstLine="656"/>
        <w:spacing w:after="0" w:line="266" w:lineRule="auto"/>
        <w:tabs>
          <w:tab w:leader="none" w:pos="9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right="660" w:firstLine="656"/>
        <w:spacing w:after="0" w:line="282" w:lineRule="auto"/>
        <w:tabs>
          <w:tab w:leader="none" w:pos="90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w:t>
      </w:r>
    </w:p>
    <w:p>
      <w:pPr>
        <w:spacing w:after="0" w:line="94" w:lineRule="exact"/>
        <w:rPr>
          <w:rFonts w:ascii="Times New Roman" w:cs="Times New Roman" w:eastAsia="Times New Roman" w:hAnsi="Times New Roman"/>
          <w:sz w:val="18"/>
          <w:szCs w:val="18"/>
          <w:color w:val="auto"/>
        </w:rPr>
      </w:pPr>
    </w:p>
    <w:p>
      <w:pPr>
        <w:ind w:right="240" w:firstLine="656"/>
        <w:spacing w:after="0" w:line="282" w:lineRule="auto"/>
        <w:tabs>
          <w:tab w:leader="none" w:pos="9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4" w:lineRule="exact"/>
        <w:rPr>
          <w:rFonts w:ascii="Times New Roman" w:cs="Times New Roman" w:eastAsia="Times New Roman" w:hAnsi="Times New Roman"/>
          <w:sz w:val="18"/>
          <w:szCs w:val="18"/>
          <w:color w:val="auto"/>
        </w:rPr>
      </w:pPr>
    </w:p>
    <w:p>
      <w:pPr>
        <w:ind w:right="300" w:firstLine="8"/>
        <w:spacing w:after="0" w:line="282" w:lineRule="auto"/>
        <w:tabs>
          <w:tab w:leader="none" w:pos="1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right="20" w:firstLine="656"/>
        <w:spacing w:after="0" w:line="297" w:lineRule="auto"/>
        <w:tabs>
          <w:tab w:leader="none" w:pos="90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81" w:lineRule="exact"/>
        <w:rPr>
          <w:rFonts w:ascii="Times New Roman" w:cs="Times New Roman" w:eastAsia="Times New Roman" w:hAnsi="Times New Roman"/>
          <w:sz w:val="18"/>
          <w:szCs w:val="18"/>
          <w:color w:val="auto"/>
        </w:rPr>
      </w:pPr>
    </w:p>
    <w:p>
      <w:pPr>
        <w:ind w:right="540" w:firstLine="656"/>
        <w:spacing w:after="0" w:line="282" w:lineRule="auto"/>
        <w:tabs>
          <w:tab w:leader="none" w:pos="9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Danny Sheng Wu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79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Name: Danny Sheng Wu Yeung</w:t>
      </w: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40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3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Section 302 of the Sarbanes-Oxley Act of 2002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 Hoi Chun (Stephen), certify that:</w:t>
      </w:r>
    </w:p>
    <w:p>
      <w:pPr>
        <w:spacing w:after="0" w:line="293" w:lineRule="exact"/>
        <w:rPr>
          <w:sz w:val="20"/>
          <w:szCs w:val="20"/>
          <w:color w:val="auto"/>
        </w:rPr>
      </w:pPr>
    </w:p>
    <w:p>
      <w:pPr>
        <w:ind w:left="200" w:hanging="192"/>
        <w:spacing w:after="0"/>
        <w:tabs>
          <w:tab w:leader="none" w:pos="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Form 20-F of Prenetics Global Limited;</w:t>
      </w:r>
    </w:p>
    <w:p>
      <w:pPr>
        <w:spacing w:after="0" w:line="157"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Times New Roman" w:cs="Times New Roman" w:eastAsia="Times New Roman" w:hAnsi="Times New Roman"/>
          <w:sz w:val="18"/>
          <w:szCs w:val="18"/>
          <w:color w:val="auto"/>
        </w:rPr>
      </w:pPr>
    </w:p>
    <w:p>
      <w:pPr>
        <w:ind w:right="80" w:firstLine="8"/>
        <w:spacing w:after="0" w:line="274" w:lineRule="auto"/>
        <w:tabs>
          <w:tab w:leader="none" w:pos="1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1" w:lineRule="exact"/>
        <w:rPr>
          <w:rFonts w:ascii="Times New Roman" w:cs="Times New Roman" w:eastAsia="Times New Roman" w:hAnsi="Times New Roman"/>
          <w:sz w:val="18"/>
          <w:szCs w:val="18"/>
          <w:color w:val="auto"/>
        </w:rPr>
      </w:pPr>
    </w:p>
    <w:p>
      <w:pPr>
        <w:ind w:right="120" w:firstLine="656"/>
        <w:spacing w:after="0" w:line="266" w:lineRule="auto"/>
        <w:tabs>
          <w:tab w:leader="none" w:pos="90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right="40" w:firstLine="656"/>
        <w:spacing w:after="0" w:line="266" w:lineRule="auto"/>
        <w:tabs>
          <w:tab w:leader="none" w:pos="9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right="660" w:firstLine="656"/>
        <w:spacing w:after="0" w:line="282" w:lineRule="auto"/>
        <w:tabs>
          <w:tab w:leader="none" w:pos="90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w:t>
      </w:r>
    </w:p>
    <w:p>
      <w:pPr>
        <w:spacing w:after="0" w:line="94" w:lineRule="exact"/>
        <w:rPr>
          <w:rFonts w:ascii="Times New Roman" w:cs="Times New Roman" w:eastAsia="Times New Roman" w:hAnsi="Times New Roman"/>
          <w:sz w:val="18"/>
          <w:szCs w:val="18"/>
          <w:color w:val="auto"/>
        </w:rPr>
      </w:pPr>
    </w:p>
    <w:p>
      <w:pPr>
        <w:ind w:right="240" w:firstLine="656"/>
        <w:spacing w:after="0" w:line="282" w:lineRule="auto"/>
        <w:tabs>
          <w:tab w:leader="none" w:pos="9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4" w:lineRule="exact"/>
        <w:rPr>
          <w:rFonts w:ascii="Times New Roman" w:cs="Times New Roman" w:eastAsia="Times New Roman" w:hAnsi="Times New Roman"/>
          <w:sz w:val="18"/>
          <w:szCs w:val="18"/>
          <w:color w:val="auto"/>
        </w:rPr>
      </w:pPr>
    </w:p>
    <w:p>
      <w:pPr>
        <w:ind w:right="300" w:firstLine="8"/>
        <w:spacing w:after="0" w:line="282" w:lineRule="auto"/>
        <w:tabs>
          <w:tab w:leader="none" w:pos="1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right="20" w:firstLine="656"/>
        <w:spacing w:after="0" w:line="297" w:lineRule="auto"/>
        <w:tabs>
          <w:tab w:leader="none" w:pos="90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81" w:lineRule="exact"/>
        <w:rPr>
          <w:rFonts w:ascii="Times New Roman" w:cs="Times New Roman" w:eastAsia="Times New Roman" w:hAnsi="Times New Roman"/>
          <w:sz w:val="18"/>
          <w:szCs w:val="18"/>
          <w:color w:val="auto"/>
        </w:rPr>
      </w:pPr>
    </w:p>
    <w:p>
      <w:pPr>
        <w:ind w:right="540" w:firstLine="656"/>
        <w:spacing w:after="0" w:line="282" w:lineRule="auto"/>
        <w:tabs>
          <w:tab w:leader="none" w:pos="9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 Hoi Chun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550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Name: Lo Hoi Chun (Stephen)</w:t>
      </w: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40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 Section 906 of the Sarbanes-Oxley Act of 2002</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Amendment No. 1 to Form 20-F of Prenetics Global Limited (the “Company”) for the year ended December 31, 2025 as filed with the Securities and Exchange Commission on the date hereof (the “Report”), I, Danny Sheng Wu Yeung,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Danny Sheng Wu Yeung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Danny Sheng Wu Yeung</w:t>
      </w: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41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Section 906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Amendment No. 1 to Form 20-F of Prenetics Global Limited (the “Company”) for the year ended December 31, 2025 as filed with</w:t>
      </w:r>
    </w:p>
    <w:p>
      <w:pPr>
        <w:spacing w:after="0" w:line="5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on the date hereof (the “Report”), I, Lo Hoi Chun (Stephen), Chief Financial Officer of the Company, certify, pursuant to 18 U.S.C. Section 1350, as adopted pursuant to Section 906 of the Sarbanes-Oxley Act of 2002, that to my knowledge:</w:t>
      </w:r>
    </w:p>
    <w:p>
      <w:pPr>
        <w:spacing w:after="0" w:line="54"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Lo Hoi Chun (Stephen)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Lo Hoi Chun (Stephen)</w:t>
      </w: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41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8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consent to the incorporation by reference in Registration Statement Nos. 333-294765, 333-274762, 333-276538 and 333-288824 on Form F-3 and Registration Statement Nos. 333-287017, 333-279019, 333-271552 and 333-267956 on Form S-8 of our report dated July 2, 2026, relating to the consolidated financial statements of Insighta Holdings Limited appearing in this Amendment No.1 to the Annual Report on Form 20-F for the year ended December 31, 2025.</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Deloitte Touche Tohmatsu</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Hong Kong, People's Republic of China</w:t>
      </w:r>
    </w:p>
    <w:p>
      <w:pPr>
        <w:spacing w:after="0"/>
        <w:rPr>
          <w:sz w:val="20"/>
          <w:szCs w:val="20"/>
          <w:color w:val="auto"/>
        </w:rPr>
      </w:pPr>
      <w:r>
        <w:rPr>
          <w:rFonts w:ascii="Arial" w:cs="Arial" w:eastAsia="Arial" w:hAnsi="Arial"/>
          <w:sz w:val="17"/>
          <w:szCs w:val="17"/>
          <w:color w:val="auto"/>
        </w:rPr>
        <w:t>July 2, 2026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x"/>
      <w:numFmt w:val="bullet"/>
      <w:start w:val="1"/>
    </w:lvl>
  </w:abstractNum>
  <w:abstractNum w:abstractNumId="2">
    <w:nsid w:val="1BEFD79F"/>
    <w:multiLevelType w:val="hybridMultilevel"/>
    <w:lvl w:ilvl="0">
      <w:lvlJc w:val="left"/>
      <w:lvlText w:val="o"/>
      <w:numFmt w:val="bullet"/>
      <w:start w:val="1"/>
    </w:lvl>
  </w:abstractNum>
  <w:abstractNum w:abstractNumId="3">
    <w:nsid w:val="41A7C4C9"/>
    <w:multiLevelType w:val="hybridMultilevel"/>
    <w:lvl w:ilvl="0">
      <w:lvlJc w:val="left"/>
      <w:lvlText w:val="o"/>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2"/>
      <w:numFmt w:val="bullet"/>
      <w:start w:val="1"/>
    </w:lvl>
  </w:abstractNum>
  <w:abstractNum w:abstractNumId="8">
    <w:nsid w:val="431BD7B7"/>
    <w:multiLevelType w:val="hybridMultilevel"/>
    <w:lvl w:ilvl="0">
      <w:lvlJc w:val="left"/>
      <w:lvlText w:val="1"/>
      <w:numFmt w:val="bullet"/>
      <w:start w:val="1"/>
    </w:lvl>
  </w:abstractNum>
  <w:abstractNum w:abstractNumId="9">
    <w:nsid w:val="3F2DBA31"/>
    <w:multiLevelType w:val="hybridMultilevel"/>
    <w:lvl w:ilvl="0">
      <w:lvlJc w:val="left"/>
      <w:lvlText w:val="2"/>
      <w:numFmt w:val="bullet"/>
      <w:start w:val="1"/>
    </w:lvl>
  </w:abstractNum>
  <w:abstractNum w:abstractNumId="10">
    <w:nsid w:val="7C83E458"/>
    <w:multiLevelType w:val="hybridMultilevel"/>
    <w:lvl w:ilvl="0">
      <w:lvlJc w:val="left"/>
      <w:lvlText w:val="3"/>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Roman"/>
      <w:start w:val="1"/>
    </w:lvl>
    <w:lvl w:ilvl="1">
      <w:lvlJc w:val="left"/>
      <w:lvlText w:val="•"/>
      <w:numFmt w:val="bullet"/>
      <w:start w:val="1"/>
    </w:lvl>
  </w:abstractNum>
  <w:abstractNum w:abstractNumId="16">
    <w:nsid w:val="721DA317"/>
    <w:multiLevelType w:val="hybridMultilevel"/>
    <w:lvl w:ilvl="0">
      <w:lvlJc w:val="left"/>
      <w:lvlText w:val="(%1)"/>
      <w:numFmt w:val="lowerRoman"/>
      <w:start w:val="2"/>
    </w:lvl>
  </w:abstractNum>
  <w:abstractNum w:abstractNumId="17">
    <w:nsid w:val="2443A858"/>
    <w:multiLevelType w:val="hybridMultilevel"/>
    <w:lvl w:ilvl="0">
      <w:lvlJc w:val="left"/>
      <w:lvlText w:val="(%1)"/>
      <w:numFmt w:val="lowerLetter"/>
      <w:start w:val="61"/>
    </w:lvl>
    <w:lvl w:ilvl="1">
      <w:lvlJc w:val="left"/>
      <w:lvlText w:val="(%2)"/>
      <w:numFmt w:val="lowerLetter"/>
      <w:start w:val="1"/>
    </w:lvl>
  </w:abstractNum>
  <w:abstractNum w:abstractNumId="18">
    <w:nsid w:val="2D1D5AE9"/>
    <w:multiLevelType w:val="hybridMultilevel"/>
    <w:lvl w:ilvl="0">
      <w:lvlJc w:val="left"/>
      <w:lvlText w:val="(%1)"/>
      <w:numFmt w:val="lowerRoman"/>
      <w:start w:val="4"/>
    </w:lvl>
  </w:abstractNum>
  <w:abstractNum w:abstractNumId="19">
    <w:nsid w:val="6763845E"/>
    <w:multiLevelType w:val="hybridMultilevel"/>
    <w:lvl w:ilvl="0">
      <w:lvlJc w:val="left"/>
      <w:lvlText w:val="%1"/>
      <w:numFmt w:val="decimal"/>
      <w:start w:val="18"/>
    </w:lvl>
    <w:lvl w:ilvl="1">
      <w:lvlJc w:val="left"/>
      <w:lvlText w:val="(%2)"/>
      <w:numFmt w:val="lowerLetter"/>
      <w:start w:val="1"/>
    </w:lvl>
  </w:abstractNum>
  <w:abstractNum w:abstractNumId="20">
    <w:nsid w:val="75A2A8D4"/>
    <w:multiLevelType w:val="hybridMultilevel"/>
    <w:lvl w:ilvl="0">
      <w:lvlJc w:val="left"/>
      <w:lvlText w:val="(%1)"/>
      <w:numFmt w:val="lowerLetter"/>
      <w:start w:val="2"/>
    </w:lvl>
  </w:abstractNum>
  <w:abstractNum w:abstractNumId="21">
    <w:nsid w:val="8EDBDAB"/>
    <w:multiLevelType w:val="hybridMultilevel"/>
    <w:lvl w:ilvl="0">
      <w:lvlJc w:val="left"/>
      <w:lvlText w:val="(%1)"/>
      <w:numFmt w:val="lowerLetter"/>
      <w:start w:val="2"/>
    </w:lvl>
  </w:abstractNum>
  <w:abstractNum w:abstractNumId="22">
    <w:nsid w:val="79838CB2"/>
    <w:multiLevelType w:val="hybridMultilevel"/>
    <w:lvl w:ilvl="0">
      <w:lvlJc w:val="left"/>
      <w:lvlText w:val="%1"/>
      <w:numFmt w:val="decimal"/>
      <w:start w:val="18"/>
    </w:lvl>
    <w:lvl w:ilvl="1">
      <w:lvlJc w:val="left"/>
      <w:lvlText w:val="(%2)"/>
      <w:numFmt w:val="lowerLetter"/>
      <w:start w:val="2"/>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2026-07-02T07:32:12Z</dcterms:created>
  <dcterms:modified xsi:type="dcterms:W3CDTF">2026-07-02T07:32:12Z</dcterms:modified>
</cp:coreProperties>
</file>