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200"/>
        <w:spacing w:after="0"/>
        <w:rPr>
          <w:sz w:val="20"/>
          <w:szCs w:val="20"/>
          <w:color w:val="auto"/>
        </w:rPr>
      </w:pPr>
      <w:r>
        <w:rPr>
          <w:rFonts w:ascii="Arial" w:cs="Arial" w:eastAsia="Arial" w:hAnsi="Arial"/>
          <w:sz w:val="43"/>
          <w:szCs w:val="43"/>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Unit 701-706, K11 Atelier King’s Road</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728 King’s Road, Quarry Bay</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20"/>
          </w:cols>
          <w:pgMar w:left="440" w:top="382" w:right="839"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99.1—Press Release</w:t>
      </w:r>
    </w:p>
    <w:p>
      <w:pPr>
        <w:sectPr>
          <w:pgSz w:w="11900" w:h="16838" w:orient="portrait"/>
          <w:cols w:equalWidth="0" w:num="1">
            <w:col w:w="10019"/>
          </w:cols>
          <w:pgMar w:left="440" w:top="27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Prenetics Global Limited</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Lo</w:t>
            </w: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Name: </w:t>
            </w:r>
          </w:p>
        </w:tc>
        <w:tc>
          <w:tcPr>
            <w:tcW w:w="4200" w:type="dxa"/>
            <w:vAlign w:val="bottom"/>
          </w:tcPr>
          <w:p>
            <w:pPr>
              <w:spacing w:after="0"/>
              <w:rPr>
                <w:sz w:val="20"/>
                <w:szCs w:val="20"/>
                <w:color w:val="auto"/>
              </w:rPr>
            </w:pPr>
            <w:r>
              <w:rPr>
                <w:rFonts w:ascii="Arial" w:cs="Arial" w:eastAsia="Arial" w:hAnsi="Arial"/>
                <w:sz w:val="18"/>
                <w:szCs w:val="18"/>
                <w:color w:val="auto"/>
              </w:rPr>
              <w:t>Stephen Lo</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 </w:t>
            </w:r>
          </w:p>
        </w:tc>
        <w:tc>
          <w:tcPr>
            <w:tcW w:w="42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2023</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25158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Prenetics Announces Second Quarter 2023 Financial Results</w:t>
      </w:r>
    </w:p>
    <w:p>
      <w:pPr>
        <w:spacing w:after="0" w:line="225" w:lineRule="exact"/>
        <w:rPr>
          <w:sz w:val="20"/>
          <w:szCs w:val="20"/>
          <w:color w:val="auto"/>
        </w:rPr>
      </w:pPr>
    </w:p>
    <w:p>
      <w:pPr>
        <w:ind w:left="4" w:right="120"/>
        <w:spacing w:after="0" w:line="312" w:lineRule="auto"/>
        <w:rPr>
          <w:sz w:val="20"/>
          <w:szCs w:val="20"/>
          <w:color w:val="auto"/>
        </w:rPr>
      </w:pPr>
      <w:r>
        <w:rPr>
          <w:rFonts w:ascii="Arial" w:cs="Arial" w:eastAsia="Arial" w:hAnsi="Arial"/>
          <w:sz w:val="17"/>
          <w:szCs w:val="17"/>
          <w:b w:val="1"/>
          <w:bCs w:val="1"/>
          <w:color w:val="auto"/>
        </w:rPr>
        <w:t xml:space="preserve">HONG KONG, September 15, 2023 </w:t>
      </w:r>
      <w:r>
        <w:rPr>
          <w:rFonts w:ascii="Arial" w:cs="Arial" w:eastAsia="Arial" w:hAnsi="Arial"/>
          <w:sz w:val="17"/>
          <w:szCs w:val="17"/>
          <w:color w:val="auto"/>
        </w:rPr>
        <w:t>– Prenetics Global Limited (NASDAQ: PRE) (“Prenetics” or the “Company”), a leading genomics-driven health</w:t>
      </w:r>
      <w:r>
        <w:rPr>
          <w:rFonts w:ascii="Arial" w:cs="Arial" w:eastAsia="Arial" w:hAnsi="Arial"/>
          <w:sz w:val="17"/>
          <w:szCs w:val="17"/>
          <w:b w:val="1"/>
          <w:bCs w:val="1"/>
          <w:color w:val="auto"/>
        </w:rPr>
        <w:t xml:space="preserve"> </w:t>
      </w:r>
      <w:r>
        <w:rPr>
          <w:rFonts w:ascii="Arial" w:cs="Arial" w:eastAsia="Arial" w:hAnsi="Arial"/>
          <w:sz w:val="17"/>
          <w:szCs w:val="17"/>
          <w:color w:val="auto"/>
        </w:rPr>
        <w:t>sciences company, today announced financial results for the second quarter ended June 30, 2023, along with recent business updates.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Quarter 2023 Financial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continuing operations of US$5.7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from continuing operations of US$(5.3)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and other short-term assets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US$214.5 million as of June 30, 2023</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 Half 2023 Financial Highlights</w:t>
      </w:r>
    </w:p>
    <w:p>
      <w:pPr>
        <w:spacing w:after="0" w:line="135" w:lineRule="exact"/>
        <w:rPr>
          <w:sz w:val="20"/>
          <w:szCs w:val="20"/>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from continuing operations of US$11.6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from continuing operations of US$(15.1) million</w:t>
      </w:r>
    </w:p>
    <w:p>
      <w:pPr>
        <w:spacing w:after="0" w:line="225"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 xml:space="preserve">“We’ve always maintained that 2023 would be a transformative year for Prenetics, and our recent strides underscore that belief. We’ve channelled significant investments into areas where we see not just potential, but a clear path to dominance. Our collaboration with Prof. Dennis Lo, particularly in the realm of early cancer detection, stands as a testament to our commitment and vision. Today, our future business strategy is crystallized into three distinct yet interconnected units: prevention, early cancer detection, and targeted therapy. I am both extremely excited and optimistic about the trajectory we’re on, and I believe that the best is yet to come for Prenetics.” said </w:t>
      </w:r>
      <w:r>
        <w:rPr>
          <w:rFonts w:ascii="Arial" w:cs="Arial" w:eastAsia="Arial" w:hAnsi="Arial"/>
          <w:sz w:val="16"/>
          <w:szCs w:val="16"/>
          <w:b w:val="1"/>
          <w:bCs w:val="1"/>
          <w:color w:val="auto"/>
        </w:rPr>
        <w:t>Danny Yeung, Chief Executive Officer and Co-Founder of Prenetics.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 Highlights</w:t>
      </w:r>
    </w:p>
    <w:p>
      <w:pPr>
        <w:spacing w:after="0" w:line="135" w:lineRule="exact"/>
        <w:rPr>
          <w:sz w:val="20"/>
          <w:szCs w:val="20"/>
          <w:color w:val="auto"/>
        </w:rPr>
      </w:pPr>
    </w:p>
    <w:p>
      <w:pPr>
        <w:ind w:left="964" w:right="80" w:hanging="424"/>
        <w:spacing w:after="0" w:line="263"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transaction with Prof. Dennis Lo for Insighta as a 50/50 Joint Venture for Multi-Cancer Early Detection in July 2023. Prenetics provided US$100m in consideration, with US$80m in cash and US$20m of shares in Prenetics. Initial clinical trial data is promising. A large multi-country overseas clinical trial is set to begin in early 2024.</w:t>
      </w:r>
    </w:p>
    <w:p>
      <w:pPr>
        <w:spacing w:after="0" w:line="89" w:lineRule="exact"/>
        <w:rPr>
          <w:rFonts w:ascii="Arial" w:cs="Arial" w:eastAsia="Arial" w:hAnsi="Arial"/>
          <w:sz w:val="18"/>
          <w:szCs w:val="18"/>
          <w:color w:val="auto"/>
        </w:rPr>
      </w:pPr>
    </w:p>
    <w:p>
      <w:pPr>
        <w:ind w:left="964" w:right="10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 Genomics is expected to launch a 500-gene panel and a 100-gene panel comprehensive genomic profiling “liquid” biopsy test by the fourth quarter of 2023.</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 Genomics product development work continues for a Minimal Residual Disease (MRD) test is expected to be rolled out by Q2 2024.</w:t>
      </w:r>
    </w:p>
    <w:p>
      <w:pPr>
        <w:spacing w:after="0" w:line="153" w:lineRule="exact"/>
        <w:rPr>
          <w:rFonts w:ascii="Arial" w:cs="Arial" w:eastAsia="Arial" w:hAnsi="Arial"/>
          <w:sz w:val="16"/>
          <w:szCs w:val="16"/>
          <w:color w:val="auto"/>
        </w:rPr>
      </w:pPr>
    </w:p>
    <w:p>
      <w:pPr>
        <w:ind w:left="964" w:right="6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Multiple distribution and partnership deals are being discussed for Southeast Asia and in the Middle East. More details will be shared once available.</w:t>
      </w:r>
    </w:p>
    <w:p>
      <w:pPr>
        <w:spacing w:after="0" w:line="75" w:lineRule="exact"/>
        <w:rPr>
          <w:rFonts w:ascii="Arial" w:cs="Arial" w:eastAsia="Arial" w:hAnsi="Arial"/>
          <w:sz w:val="18"/>
          <w:szCs w:val="18"/>
          <w:color w:val="auto"/>
        </w:rPr>
      </w:pPr>
    </w:p>
    <w:p>
      <w:pPr>
        <w:ind w:left="964" w:right="280" w:hanging="424"/>
        <w:spacing w:after="0" w:line="263"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improvement in operational efficiency and cost optimization, reducing adjusted EBITDA from continuing operations from a loss of US$(9.8) million in the first quarter of 2023 to US$(5.3) million in the current quarter with further reductions expected in the second half of 2023.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Prenetics</w:t>
      </w:r>
    </w:p>
    <w:p>
      <w:pPr>
        <w:spacing w:after="0" w:line="121"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Prenetics (NASDAQ:PRE), a leading genomics-driven health sciences company, is revolutionizing prevention, early detection, and treatment. Our prevention arm, CircleDNA, uses whole exome sequencing to offer the world’s most comprehensive consumer DNA test. Insighta, our US$200 million joint venture with renowned scientist Prof. Dennis Lo, underscores our unwavering commitment to saving lives through pioneering multi-cancer early detection technologies. Insighta plans to introduce Presight for lung and liver cancers in 2025, and to expand with Presight One for 10+ cancers in 2027. Lastly, ACT Genomics, our treatment unit, is the first Asia-based company to achieve FDA clearance for comprehensive genomic profiling of solid tumors via ACTOnco. Each of Prenetics’ units synergistically enhances our global impact on health, truly embodying our commitment to ‘enhancing life through science’. To learn more about Prenetics, please visit www.prenetics.com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424" w:right="340" w:hanging="424"/>
        <w:spacing w:after="0" w:line="216" w:lineRule="auto"/>
        <w:tabs>
          <w:tab w:leader="none" w:pos="424"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Represents current assets, including cash and cash equivalents totaling US$177.2 million, financial assets at fair value through profit or loss of US$13.6 million, and trade receivables of US$5.6 million, amongst other accounting line items under current assets.</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155"/>
                    </a:xfrm>
                    <a:prstGeom prst="rect">
                      <a:avLst/>
                    </a:prstGeom>
                    <a:noFill/>
                  </pic:spPr>
                </pic:pic>
              </a:graphicData>
            </a:graphic>
          </wp:anchor>
        </w:drawing>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investors@prenetics.com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on Form F-1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Unaudited Financial Information and Non-IFRS Financial Measures has been provided in the financial statements tables included at the end of this press release. An explanation of these measures is also included below under the heading “Unaudited Financial Information and Non-IFRS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supplement Prenetics’ consolidated financial statements prepared in accordance with International Financial Reporting Standards (“IFRS”), the Company is providing non-IFRS measures, adjusted EBITDA from continuing operations, adjusted gross profit from continuing operations and adjusted (loss)/profit attributable to equity shareholders of Prenetics.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is excluding from some or all of its non-IFRS results (1) Employee equity-settled share-based payment expenses, (2) depreciation and amortization, (3) finance income and exchange gain or loss, net, and (4) certain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ectPr>
          <w:pgSz w:w="11900" w:h="16838" w:orient="portrait"/>
          <w:cols w:equalWidth="0" w:num="1">
            <w:col w:w="11000"/>
          </w:cols>
          <w:pgMar w:left="440" w:top="972" w:right="45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155"/>
                    </a:xfrm>
                    <a:prstGeom prst="rect">
                      <a:avLst/>
                    </a:prstGeom>
                    <a:noFill/>
                  </pic:spPr>
                </pic:pic>
              </a:graphicData>
            </a:graphic>
          </wp:anchor>
        </w:drawing>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from continuing operations (Non-IFRS)”, “Reconciliation of gross profit from continuing operations under IFRS and adjusted gross profit from continuing operations (Non-IFRS)” and “Reconciliation of (loss)/profit attributable to equity shareholders of Prenetics under IFRS and adjusted (loss)/profit attributable to equity shareholders of Prenetics (Non-IFRS)” set forth at the end of this document.</w:t>
      </w:r>
    </w:p>
    <w:p>
      <w:pPr>
        <w:sectPr>
          <w:pgSz w:w="11900" w:h="16838" w:orient="portrait"/>
          <w:cols w:equalWidth="0" w:num="1">
            <w:col w:w="10900"/>
          </w:cols>
          <w:pgMar w:left="440" w:top="976" w:right="5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15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i w:val="1"/>
                <w:iCs w:val="1"/>
                <w:color w:val="auto"/>
              </w:rPr>
              <w:t>2023</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i w:val="1"/>
                <w:i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9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10,031,570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11,809,757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13,102,546</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14,101,566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14,463,400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14,785,875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Goodwill</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33,800,276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33,800,276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33,800,276</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Interests in associates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559,193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677,339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788,472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7,631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7,626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243,449</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7,097,641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5,119,170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6,307,834</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1,064,194</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66,339,693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66,941,762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70,320,914</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Deferred expenses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8,588,431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4,547,611</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3,768,880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3,420,013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4,534,072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Trade receivables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5,636,969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5,718,516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41,691,913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Deposits, prepayments and other receivables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5,594,273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6,488,436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6,889,114</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Amount due from an associate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138,781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181,942</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13,593,201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17,537,608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17,537,608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Short-term deposits</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19,872,581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19,920,160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177,179,297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166,335,875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146,660,195</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214,499,832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224,102,582</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241,810,317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280,839,525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291,044,344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312,131,231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2,694,720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2,924,369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3,185,440</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Warrant liabilities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1,822,139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2,314,609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3,574,885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3,255,461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3,627,663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3,763,230</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830,562</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8,595,402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9,697,203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11,473,256</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Trade payables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4,226,392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7,505,724</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7,291,133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19,349,105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6,460,445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15,611,421</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Contract liabilities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3,703,874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4,917,268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5,674,290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2,779,193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2,779,426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2,882,933</w:t>
            </w:r>
          </w:p>
        </w:tc>
        <w:tc>
          <w:tcPr>
            <w:tcW w:w="0" w:type="dxa"/>
            <w:vAlign w:val="bottom"/>
          </w:tcPr>
          <w:p>
            <w:pPr>
              <w:spacing w:after="0"/>
              <w:rPr>
                <w:sz w:val="1"/>
                <w:szCs w:val="1"/>
                <w:color w:val="auto"/>
              </w:rPr>
            </w:pPr>
          </w:p>
        </w:tc>
      </w:tr>
      <w:tr>
        <w:trPr>
          <w:trHeight w:val="216"/>
        </w:trPr>
        <w:tc>
          <w:tcPr>
            <w:tcW w:w="7760" w:type="dxa"/>
            <w:vAlign w:val="bottom"/>
          </w:tcPr>
          <w:p>
            <w:pPr>
              <w:spacing w:after="0" w:line="216" w:lineRule="exact"/>
              <w:rPr>
                <w:sz w:val="20"/>
                <w:szCs w:val="20"/>
                <w:color w:val="auto"/>
              </w:rPr>
            </w:pPr>
            <w:r>
              <w:rPr>
                <w:rFonts w:ascii="Arial" w:cs="Arial" w:eastAsia="Arial" w:hAnsi="Arial"/>
                <w:sz w:val="17"/>
                <w:szCs w:val="17"/>
                <w:color w:val="auto"/>
              </w:rPr>
              <w:t>Liabilities for puttable financial instrument</w:t>
            </w:r>
            <w:r>
              <w:rPr>
                <w:rFonts w:ascii="Arial" w:cs="Arial" w:eastAsia="Arial" w:hAnsi="Arial"/>
                <w:sz w:val="25"/>
                <w:szCs w:val="25"/>
                <w:color w:val="auto"/>
                <w:vertAlign w:val="superscript"/>
              </w:rPr>
              <w:t>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13,435,228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17,459,600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17,138,905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payable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8,534,527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8,692,193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8,596,433</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52,028,319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47,814,656</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57,195,115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60,623,721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57,511,859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68,668,371</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Share capital</w:t>
            </w:r>
            <w:r>
              <w:rPr>
                <w:rFonts w:ascii="Arial" w:cs="Arial" w:eastAsia="Arial" w:hAnsi="Arial"/>
                <w:sz w:val="25"/>
                <w:szCs w:val="25"/>
                <w:color w:val="auto"/>
                <w:vertAlign w:val="superscript"/>
              </w:rPr>
              <w:t>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15,791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Reserves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215,291,050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228,232,194</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237,050,429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attributable to equity shareholders of the Company</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215,306,841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228,248,076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237,064,127</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4,908,963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5,284,409</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220,215,804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233,532,485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243,462,860</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280,839,525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291,044,344</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312,131,231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72"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15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3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For the six months ended</w:t>
            </w:r>
          </w:p>
        </w:tc>
      </w:tr>
      <w:tr>
        <w:trPr>
          <w:trHeight w:val="153"/>
        </w:trPr>
        <w:tc>
          <w:tcPr>
            <w:tcW w:w="8680" w:type="dxa"/>
            <w:vAlign w:val="bottom"/>
          </w:tcPr>
          <w:p>
            <w:pPr>
              <w:spacing w:after="0"/>
              <w:rPr>
                <w:sz w:val="13"/>
                <w:szCs w:val="13"/>
                <w:color w:val="auto"/>
              </w:rPr>
            </w:pPr>
          </w:p>
        </w:tc>
        <w:tc>
          <w:tcPr>
            <w:tcW w:w="1180" w:type="dxa"/>
            <w:vAlign w:val="bottom"/>
            <w:gridSpan w:val="2"/>
          </w:tcPr>
          <w:p>
            <w:pPr>
              <w:jc w:val="right"/>
              <w:ind w:right="361"/>
              <w:spacing w:after="0" w:line="153" w:lineRule="exact"/>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jc w:val="right"/>
              <w:ind w:right="301"/>
              <w:spacing w:after="0" w:line="153" w:lineRule="exact"/>
              <w:rPr>
                <w:sz w:val="20"/>
                <w:szCs w:val="20"/>
                <w:color w:val="auto"/>
              </w:rPr>
            </w:pPr>
            <w:r>
              <w:rPr>
                <w:rFonts w:ascii="Arial" w:cs="Arial" w:eastAsia="Arial" w:hAnsi="Arial"/>
                <w:sz w:val="14"/>
                <w:szCs w:val="14"/>
                <w:b w:val="1"/>
                <w:bCs w:val="1"/>
                <w:color w:val="auto"/>
              </w:rPr>
              <w:t>June 30,</w:t>
            </w:r>
          </w:p>
        </w:tc>
      </w:tr>
      <w:tr>
        <w:trPr>
          <w:trHeight w:val="167"/>
        </w:trPr>
        <w:tc>
          <w:tcPr>
            <w:tcW w:w="8680" w:type="dxa"/>
            <w:vAlign w:val="bottom"/>
          </w:tcPr>
          <w:p>
            <w:pPr>
              <w:spacing w:after="0"/>
              <w:rPr>
                <w:sz w:val="14"/>
                <w:szCs w:val="1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123"/>
        </w:trPr>
        <w:tc>
          <w:tcPr>
            <w:tcW w:w="8680" w:type="dxa"/>
            <w:vAlign w:val="bottom"/>
          </w:tcPr>
          <w:p>
            <w:pPr>
              <w:spacing w:after="0"/>
              <w:rPr>
                <w:sz w:val="10"/>
                <w:szCs w:val="10"/>
                <w:color w:val="auto"/>
              </w:rPr>
            </w:pPr>
          </w:p>
        </w:tc>
        <w:tc>
          <w:tcPr>
            <w:tcW w:w="960" w:type="dxa"/>
            <w:vAlign w:val="bottom"/>
          </w:tcPr>
          <w:p>
            <w:pPr>
              <w:jc w:val="right"/>
              <w:ind w:right="352"/>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1040" w:type="dxa"/>
            <w:vAlign w:val="bottom"/>
          </w:tcPr>
          <w:p>
            <w:pPr>
              <w:jc w:val="right"/>
              <w:ind w:right="392"/>
              <w:spacing w:after="0" w:line="12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r>
      <w:tr>
        <w:trPr>
          <w:trHeight w:val="167"/>
        </w:trPr>
        <w:tc>
          <w:tcPr>
            <w:tcW w:w="8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4"/>
                <w:szCs w:val="14"/>
                <w:i w:val="1"/>
                <w:iCs w:val="1"/>
                <w:color w:val="auto"/>
              </w:rPr>
              <w:t>(Restated)</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operations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11,600,319</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8,291,318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(6,988,941)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(5,524,587)</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4,611,378</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2,766,731</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other net gain/(losses)</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2,629,405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(585,463)</w:t>
            </w: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7"/>
                <w:szCs w:val="17"/>
                <w:color w:val="auto"/>
              </w:rPr>
              <w:t>Selling and distribution expenses</w:t>
            </w:r>
            <w:r>
              <w:rPr>
                <w:rFonts w:ascii="Arial" w:cs="Arial" w:eastAsia="Arial" w:hAnsi="Arial"/>
                <w:sz w:val="25"/>
                <w:szCs w:val="25"/>
                <w:color w:val="auto"/>
                <w:vertAlign w:val="superscript"/>
              </w:rPr>
              <w:t>4</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(4,672,953)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(2,454,979)</w:t>
            </w: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Research and development expenses</w:t>
            </w:r>
            <w:r>
              <w:rPr>
                <w:rFonts w:ascii="Arial" w:cs="Arial" w:eastAsia="Arial" w:hAnsi="Arial"/>
                <w:sz w:val="25"/>
                <w:szCs w:val="25"/>
                <w:color w:val="auto"/>
                <w:vertAlign w:val="superscript"/>
              </w:rPr>
              <w:t>4</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(6,177,592)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(3,941,463)</w:t>
            </w: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7"/>
                <w:szCs w:val="17"/>
                <w:color w:val="auto"/>
              </w:rPr>
              <w:t>Administrative and other operating expenses</w:t>
            </w:r>
            <w:r>
              <w:rPr>
                <w:rFonts w:ascii="Arial" w:cs="Arial" w:eastAsia="Arial" w:hAnsi="Arial"/>
                <w:sz w:val="25"/>
                <w:szCs w:val="25"/>
                <w:color w:val="auto"/>
                <w:vertAlign w:val="superscript"/>
              </w:rPr>
              <w:t>4</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(23,158,344)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(36,608,463)</w:t>
            </w:r>
          </w:p>
        </w:tc>
      </w:tr>
      <w:tr>
        <w:trPr>
          <w:trHeight w:val="27"/>
        </w:trPr>
        <w:tc>
          <w:tcPr>
            <w:tcW w:w="8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(26,768,106)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(40,823,637)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(3,944,407)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(1,659,343)</w:t>
            </w: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Share-based payments on listing</w:t>
            </w:r>
            <w:r>
              <w:rPr>
                <w:rFonts w:ascii="Arial" w:cs="Arial" w:eastAsia="Arial" w:hAnsi="Arial"/>
                <w:sz w:val="25"/>
                <w:szCs w:val="25"/>
                <w:color w:val="auto"/>
                <w:vertAlign w:val="superscript"/>
              </w:rPr>
              <w:t>5</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(89,546,601)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Fair value loss on preference shares liabilities</w:t>
            </w:r>
          </w:p>
        </w:tc>
        <w:tc>
          <w:tcPr>
            <w:tcW w:w="11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(60,091,353)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gain/(loss) on warrant liabilities</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1,752,746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(1,539,577)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 of losses of associates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(225,284)</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finance costs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(108,358)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(3,883,002)</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(29,293,409)</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(197,543,513)</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268,827</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1,971,231</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(29,024,582)</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(195,572,282)</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7"/>
                <w:szCs w:val="17"/>
                <w:color w:val="auto"/>
              </w:rPr>
              <w:t>(Loss)/profit from discontinued operation, net of tax</w:t>
            </w:r>
            <w:r>
              <w:rPr>
                <w:rFonts w:ascii="Arial" w:cs="Arial" w:eastAsia="Arial" w:hAnsi="Arial"/>
                <w:sz w:val="25"/>
                <w:szCs w:val="25"/>
                <w:color w:val="auto"/>
                <w:vertAlign w:val="superscript"/>
              </w:rPr>
              <w:t>6</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(4,156,608)</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18,409,191</w:t>
            </w:r>
          </w:p>
        </w:tc>
      </w:tr>
      <w:tr>
        <w:trPr>
          <w:trHeight w:val="27"/>
        </w:trPr>
        <w:tc>
          <w:tcPr>
            <w:tcW w:w="8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(33,181,190)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(177,163,091)</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Exchange difference on translation of:</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financial statements of subsidiaries outside Hong Kong</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1,157,683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(4,775,936)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comprehensive income for the period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(32,023,507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(181,939,027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(32,206,003)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(177,163,044)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(975,187)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6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(33,181,190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(177,163,091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(30,533,737)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(181,938,980)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(1,489,770)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6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(32,023,507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(181,939,027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Loss per share—Continuing operations: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(3.94)</w:t>
            </w:r>
          </w:p>
        </w:tc>
      </w:tr>
      <w:tr>
        <w:trPr>
          <w:trHeight w:val="94"/>
        </w:trPr>
        <w:tc>
          <w:tcPr>
            <w:tcW w:w="8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158,656,029</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49,616,648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158,656,029</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49,616,648</w:t>
            </w:r>
          </w:p>
        </w:tc>
      </w:tr>
    </w:tbl>
    <w:p>
      <w:pPr>
        <w:sectPr>
          <w:pgSz w:w="11900" w:h="16838" w:orient="portrait"/>
          <w:cols w:equalWidth="0" w:num="1">
            <w:col w:w="11020"/>
          </w:cols>
          <w:pgMar w:left="440" w:top="972"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15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540" w:type="dxa"/>
            <w:vAlign w:val="bottom"/>
            <w:gridSpan w:val="6"/>
          </w:tcPr>
          <w:p>
            <w:pPr>
              <w:jc w:val="right"/>
              <w:ind w:right="901"/>
              <w:spacing w:after="0"/>
              <w:rPr>
                <w:sz w:val="20"/>
                <w:szCs w:val="20"/>
                <w:color w:val="auto"/>
              </w:rPr>
            </w:pPr>
            <w:r>
              <w:rPr>
                <w:rFonts w:ascii="Arial" w:cs="Arial" w:eastAsia="Arial" w:hAnsi="Arial"/>
                <w:sz w:val="14"/>
                <w:szCs w:val="14"/>
                <w:b w:val="1"/>
                <w:bCs w:val="1"/>
                <w:color w:val="auto"/>
              </w:rPr>
              <w:t>For the three months ended</w:t>
            </w:r>
          </w:p>
        </w:tc>
      </w:tr>
      <w:tr>
        <w:trPr>
          <w:trHeight w:val="153"/>
        </w:trPr>
        <w:tc>
          <w:tcPr>
            <w:tcW w:w="7480" w:type="dxa"/>
            <w:vAlign w:val="bottom"/>
          </w:tcPr>
          <w:p>
            <w:pPr>
              <w:spacing w:after="0"/>
              <w:rPr>
                <w:sz w:val="13"/>
                <w:szCs w:val="13"/>
                <w:color w:val="auto"/>
              </w:rPr>
            </w:pPr>
          </w:p>
        </w:tc>
        <w:tc>
          <w:tcPr>
            <w:tcW w:w="1180" w:type="dxa"/>
            <w:vAlign w:val="bottom"/>
            <w:gridSpan w:val="2"/>
          </w:tcPr>
          <w:p>
            <w:pPr>
              <w:jc w:val="right"/>
              <w:ind w:right="361"/>
              <w:spacing w:after="0" w:line="153" w:lineRule="exact"/>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jc w:val="right"/>
              <w:ind w:right="321"/>
              <w:spacing w:after="0" w:line="153" w:lineRule="exact"/>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jc w:val="right"/>
              <w:ind w:right="321"/>
              <w:spacing w:after="0" w:line="153" w:lineRule="exact"/>
              <w:rPr>
                <w:sz w:val="20"/>
                <w:szCs w:val="20"/>
                <w:color w:val="auto"/>
              </w:rPr>
            </w:pPr>
            <w:r>
              <w:rPr>
                <w:rFonts w:ascii="Arial" w:cs="Arial" w:eastAsia="Arial" w:hAnsi="Arial"/>
                <w:sz w:val="14"/>
                <w:szCs w:val="14"/>
                <w:b w:val="1"/>
                <w:bCs w:val="1"/>
                <w:color w:val="auto"/>
              </w:rPr>
              <w:t>June 30,</w:t>
            </w:r>
          </w:p>
        </w:tc>
      </w:tr>
      <w:tr>
        <w:trPr>
          <w:trHeight w:val="167"/>
        </w:trPr>
        <w:tc>
          <w:tcPr>
            <w:tcW w:w="748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123"/>
        </w:trPr>
        <w:tc>
          <w:tcPr>
            <w:tcW w:w="7480" w:type="dxa"/>
            <w:vAlign w:val="bottom"/>
          </w:tcPr>
          <w:p>
            <w:pPr>
              <w:spacing w:after="0"/>
              <w:rPr>
                <w:sz w:val="10"/>
                <w:szCs w:val="10"/>
                <w:color w:val="auto"/>
              </w:rPr>
            </w:pPr>
          </w:p>
        </w:tc>
        <w:tc>
          <w:tcPr>
            <w:tcW w:w="960" w:type="dxa"/>
            <w:vAlign w:val="bottom"/>
          </w:tcPr>
          <w:p>
            <w:pPr>
              <w:jc w:val="right"/>
              <w:ind w:right="352"/>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980" w:type="dxa"/>
            <w:vAlign w:val="bottom"/>
          </w:tcPr>
          <w:p>
            <w:pPr>
              <w:jc w:val="right"/>
              <w:ind w:right="372"/>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1040" w:type="dxa"/>
            <w:vAlign w:val="bottom"/>
          </w:tcPr>
          <w:p>
            <w:pPr>
              <w:jc w:val="right"/>
              <w:ind w:right="412"/>
              <w:spacing w:after="0" w:line="12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r>
      <w:tr>
        <w:trPr>
          <w:trHeight w:val="167"/>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4"/>
                <w:szCs w:val="14"/>
                <w:i w:val="1"/>
                <w:iCs w:val="1"/>
                <w:color w:val="auto"/>
              </w:rPr>
              <w:t>(Restated)</w:t>
            </w:r>
          </w:p>
        </w:tc>
        <w:tc>
          <w:tcPr>
            <w:tcW w:w="1160" w:type="dxa"/>
            <w:vAlign w:val="bottom"/>
            <w:gridSpan w:val="2"/>
          </w:tcPr>
          <w:p>
            <w:pPr>
              <w:jc w:val="right"/>
              <w:ind w:right="281"/>
              <w:spacing w:after="0"/>
              <w:rPr>
                <w:sz w:val="20"/>
                <w:szCs w:val="20"/>
                <w:color w:val="auto"/>
              </w:rPr>
            </w:pPr>
            <w:r>
              <w:rPr>
                <w:rFonts w:ascii="Arial" w:cs="Arial" w:eastAsia="Arial" w:hAnsi="Arial"/>
                <w:sz w:val="14"/>
                <w:szCs w:val="14"/>
                <w:i w:val="1"/>
                <w:iCs w:val="1"/>
                <w:color w:val="auto"/>
              </w:rPr>
              <w:t>(Restated)</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operations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5,695,579</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5,904,740</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4,183,499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(3,559,119)</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(3,429,822)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(2,822,908)</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2,136,460</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2,474,918</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1,360,591</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other net gain/(losses)</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1,406,281</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1,223,124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(556,361)</w:t>
            </w:r>
          </w:p>
        </w:tc>
      </w:tr>
      <w:tr>
        <w:trPr>
          <w:trHeight w:val="216"/>
        </w:trPr>
        <w:tc>
          <w:tcPr>
            <w:tcW w:w="7480" w:type="dxa"/>
            <w:vAlign w:val="bottom"/>
          </w:tcPr>
          <w:p>
            <w:pPr>
              <w:spacing w:after="0" w:line="216" w:lineRule="exact"/>
              <w:rPr>
                <w:sz w:val="20"/>
                <w:szCs w:val="20"/>
                <w:color w:val="auto"/>
              </w:rPr>
            </w:pPr>
            <w:r>
              <w:rPr>
                <w:rFonts w:ascii="Arial" w:cs="Arial" w:eastAsia="Arial" w:hAnsi="Arial"/>
                <w:sz w:val="17"/>
                <w:szCs w:val="17"/>
                <w:color w:val="auto"/>
              </w:rPr>
              <w:t>Selling and distribution expenses</w:t>
            </w:r>
            <w:r>
              <w:rPr>
                <w:rFonts w:ascii="Arial" w:cs="Arial" w:eastAsia="Arial" w:hAnsi="Arial"/>
                <w:sz w:val="25"/>
                <w:szCs w:val="25"/>
                <w:color w:val="auto"/>
                <w:vertAlign w:val="superscript"/>
              </w:rPr>
              <w:t>4</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(2,171,640)</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(2,501,313)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(1,132,136)</w:t>
            </w:r>
          </w:p>
        </w:tc>
      </w:tr>
      <w:tr>
        <w:trPr>
          <w:trHeight w:val="216"/>
        </w:trPr>
        <w:tc>
          <w:tcPr>
            <w:tcW w:w="74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Research and development expenses</w:t>
            </w:r>
            <w:r>
              <w:rPr>
                <w:rFonts w:ascii="Arial" w:cs="Arial" w:eastAsia="Arial" w:hAnsi="Arial"/>
                <w:sz w:val="25"/>
                <w:szCs w:val="25"/>
                <w:color w:val="auto"/>
                <w:vertAlign w:val="superscript"/>
              </w:rPr>
              <w:t>4</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(2,703,038)</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(3,474,554)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(2,192,768)</w:t>
            </w:r>
          </w:p>
        </w:tc>
      </w:tr>
      <w:tr>
        <w:trPr>
          <w:trHeight w:val="216"/>
        </w:trPr>
        <w:tc>
          <w:tcPr>
            <w:tcW w:w="7480" w:type="dxa"/>
            <w:vAlign w:val="bottom"/>
          </w:tcPr>
          <w:p>
            <w:pPr>
              <w:spacing w:after="0" w:line="216" w:lineRule="exact"/>
              <w:rPr>
                <w:sz w:val="20"/>
                <w:szCs w:val="20"/>
                <w:color w:val="auto"/>
              </w:rPr>
            </w:pPr>
            <w:r>
              <w:rPr>
                <w:rFonts w:ascii="Arial" w:cs="Arial" w:eastAsia="Arial" w:hAnsi="Arial"/>
                <w:sz w:val="17"/>
                <w:szCs w:val="17"/>
                <w:color w:val="auto"/>
              </w:rPr>
              <w:t>Administrative and other operating expenses</w:t>
            </w:r>
            <w:r>
              <w:rPr>
                <w:rFonts w:ascii="Arial" w:cs="Arial" w:eastAsia="Arial" w:hAnsi="Arial"/>
                <w:sz w:val="25"/>
                <w:szCs w:val="25"/>
                <w:color w:val="auto"/>
                <w:vertAlign w:val="superscript"/>
              </w:rPr>
              <w:t>4</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(10,834,043)</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(12,324,301)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(20,267,592)</w:t>
            </w:r>
          </w:p>
        </w:tc>
      </w:tr>
      <w:tr>
        <w:trPr>
          <w:trHeight w:val="27"/>
        </w:trPr>
        <w:tc>
          <w:tcPr>
            <w:tcW w:w="7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(12,165,980)</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(14,602,126)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(22,788,266)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(3,944,407)</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(1,659,343)</w:t>
            </w:r>
          </w:p>
        </w:tc>
      </w:tr>
      <w:tr>
        <w:trPr>
          <w:trHeight w:val="216"/>
        </w:trPr>
        <w:tc>
          <w:tcPr>
            <w:tcW w:w="74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Share-based payments on listing</w:t>
            </w:r>
            <w:r>
              <w:rPr>
                <w:rFonts w:ascii="Arial" w:cs="Arial" w:eastAsia="Arial" w:hAnsi="Arial"/>
                <w:sz w:val="25"/>
                <w:szCs w:val="25"/>
                <w:color w:val="auto"/>
                <w:vertAlign w:val="superscript"/>
              </w:rPr>
              <w:t>5</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(89,546,601)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Fair value loss on preference shares liabilities</w:t>
            </w:r>
          </w:p>
        </w:tc>
        <w:tc>
          <w:tcPr>
            <w:tcW w:w="11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(31,815,352)</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gain/(loss) on warrant liabilities</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492,470</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1,260,276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(1,539,577)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Share of losses of associates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(112,533)</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(112,751)</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finance costs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(51,464)</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(56,894)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(1,420,446)</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(15,781,914)</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(13,511,495)</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(148,769,585)</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245,877</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(246,859)</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(15,536,037)</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(13,488,545)</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(149,016,444)</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line="216" w:lineRule="exact"/>
              <w:rPr>
                <w:sz w:val="20"/>
                <w:szCs w:val="20"/>
                <w:color w:val="auto"/>
              </w:rPr>
            </w:pPr>
            <w:r>
              <w:rPr>
                <w:rFonts w:ascii="Arial" w:cs="Arial" w:eastAsia="Arial" w:hAnsi="Arial"/>
                <w:sz w:val="17"/>
                <w:szCs w:val="17"/>
                <w:color w:val="auto"/>
              </w:rPr>
              <w:t>(Loss)/profit from discontinued operation, net of tax</w:t>
            </w:r>
            <w:r>
              <w:rPr>
                <w:rFonts w:ascii="Arial" w:cs="Arial" w:eastAsia="Arial" w:hAnsi="Arial"/>
                <w:sz w:val="25"/>
                <w:szCs w:val="25"/>
                <w:color w:val="auto"/>
                <w:vertAlign w:val="superscript"/>
              </w:rPr>
              <w:t>6</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(6,671,413)</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2,514,805</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4,839,249</w:t>
            </w:r>
          </w:p>
        </w:tc>
      </w:tr>
      <w:tr>
        <w:trPr>
          <w:trHeight w:val="27"/>
        </w:trPr>
        <w:tc>
          <w:tcPr>
            <w:tcW w:w="7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(22,207,450)</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(10,973,740)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(144,177,195)</w:t>
            </w: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Exchange difference on translation of:</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financial statements of subsidiaries and associates outside Hong Kong</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1,794,185</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(636,502)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(4,245,198)</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Total comprehensive income for the period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(20,413,265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(11,610,242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(148,422,393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(21,807,573)</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(10,398,430)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(144,177,194)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(399,877)</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(575,310)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(22,207,450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(10,973,740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(144,177,195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(20,037,819)</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(10,495,918)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(148,422,392)</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(375,446)</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(1,114,324)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(20,413,265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(11,610,242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(148,422,393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(0.14)</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(0.14)</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324"/>
        </w:trPr>
        <w:tc>
          <w:tcPr>
            <w:tcW w:w="7480" w:type="dxa"/>
            <w:vAlign w:val="bottom"/>
          </w:tcPr>
          <w:p>
            <w:pPr>
              <w:spacing w:after="0"/>
              <w:rPr>
                <w:sz w:val="20"/>
                <w:szCs w:val="20"/>
                <w:color w:val="auto"/>
              </w:rPr>
            </w:pPr>
            <w:r>
              <w:rPr>
                <w:rFonts w:ascii="Arial" w:cs="Arial" w:eastAsia="Arial" w:hAnsi="Arial"/>
                <w:sz w:val="18"/>
                <w:szCs w:val="18"/>
                <w:b w:val="1"/>
                <w:bCs w:val="1"/>
                <w:color w:val="auto"/>
              </w:rPr>
              <w:t>Loss per share—Continuing operations: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(0.10)</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94"/>
        </w:trPr>
        <w:tc>
          <w:tcPr>
            <w:tcW w:w="7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158,963,468</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157,839,309</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49,616,648</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158,963,468</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157,839,309</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49,616,648</w:t>
            </w:r>
          </w:p>
        </w:tc>
      </w:tr>
    </w:tbl>
    <w:p>
      <w:pPr>
        <w:sectPr>
          <w:pgSz w:w="11900" w:h="16838" w:orient="portrait"/>
          <w:cols w:equalWidth="0" w:num="1">
            <w:col w:w="11020"/>
          </w:cols>
          <w:pgMar w:left="440" w:top="972"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5158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155"/>
                    </a:xfrm>
                    <a:prstGeom prst="rect">
                      <a:avLst/>
                    </a:prstGeom>
                    <a:noFill/>
                  </pic:spPr>
                </pic:pic>
              </a:graphicData>
            </a:graphic>
          </wp:anchor>
        </w:drawing>
        <w:t>PRENETICS GLOBAL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loss from operations from continuing operations under IFRS and adjusted EBITDA from continuing operations (Non-IFRS)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r>
      <w:tr>
        <w:trPr>
          <w:trHeight w:val="153"/>
        </w:trPr>
        <w:tc>
          <w:tcPr>
            <w:tcW w:w="8740" w:type="dxa"/>
            <w:vAlign w:val="bottom"/>
          </w:tcPr>
          <w:p>
            <w:pPr>
              <w:spacing w:after="0"/>
              <w:rPr>
                <w:sz w:val="13"/>
                <w:szCs w:val="13"/>
                <w:color w:val="auto"/>
              </w:rPr>
            </w:pPr>
          </w:p>
        </w:tc>
        <w:tc>
          <w:tcPr>
            <w:tcW w:w="1140" w:type="dxa"/>
            <w:vAlign w:val="bottom"/>
            <w:gridSpan w:val="3"/>
          </w:tcPr>
          <w:p>
            <w:pPr>
              <w:jc w:val="right"/>
              <w:ind w:right="420"/>
              <w:spacing w:after="0" w:line="153"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67"/>
        </w:trPr>
        <w:tc>
          <w:tcPr>
            <w:tcW w:w="8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2022</w:t>
            </w:r>
          </w:p>
        </w:tc>
        <w:tc>
          <w:tcPr>
            <w:tcW w:w="120" w:type="dxa"/>
            <w:vAlign w:val="bottom"/>
          </w:tcPr>
          <w:p>
            <w:pPr>
              <w:spacing w:after="0"/>
              <w:rPr>
                <w:sz w:val="14"/>
                <w:szCs w:val="14"/>
                <w:color w:val="auto"/>
              </w:rPr>
            </w:pPr>
          </w:p>
        </w:tc>
      </w:tr>
      <w:tr>
        <w:trPr>
          <w:trHeight w:val="123"/>
        </w:trPr>
        <w:tc>
          <w:tcPr>
            <w:tcW w:w="874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0"/>
                <w:szCs w:val="10"/>
                <w:color w:val="auto"/>
              </w:rPr>
            </w:pPr>
          </w:p>
        </w:tc>
      </w:tr>
      <w:tr>
        <w:trPr>
          <w:trHeight w:val="167"/>
        </w:trPr>
        <w:tc>
          <w:tcPr>
            <w:tcW w:w="8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88"/>
              </w:rPr>
              <w:t>(Restated)</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from continuing operations under IFRS</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(26,768,106)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(40,823,637)</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6,237,845</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17,960,605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3,935,194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924,050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4,002,301</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9,202,912</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exchange gain or loss, net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(2,469,946)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703,368</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 (Non-IFRS)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(15,062,712</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(12,032,702)</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102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5"/>
              </w:rPr>
              <w:t>Reconciliation of gross profit from continuing operations under IFRS and adjusted gross profit from continuing operations (Non-IFRS)</w:t>
            </w:r>
          </w:p>
        </w:tc>
      </w:tr>
      <w:tr>
        <w:trPr>
          <w:trHeight w:val="342"/>
        </w:trPr>
        <w:tc>
          <w:tcPr>
            <w:tcW w:w="8740" w:type="dxa"/>
            <w:vAlign w:val="bottom"/>
          </w:tcPr>
          <w:p>
            <w:pPr>
              <w:spacing w:after="0"/>
              <w:rPr>
                <w:sz w:val="24"/>
                <w:szCs w:val="24"/>
                <w:color w:val="auto"/>
              </w:rPr>
            </w:pPr>
          </w:p>
        </w:tc>
        <w:tc>
          <w:tcPr>
            <w:tcW w:w="2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r>
      <w:tr>
        <w:trPr>
          <w:trHeight w:val="153"/>
        </w:trPr>
        <w:tc>
          <w:tcPr>
            <w:tcW w:w="8740" w:type="dxa"/>
            <w:vAlign w:val="bottom"/>
          </w:tcPr>
          <w:p>
            <w:pPr>
              <w:spacing w:after="0"/>
              <w:rPr>
                <w:sz w:val="13"/>
                <w:szCs w:val="13"/>
                <w:color w:val="auto"/>
              </w:rPr>
            </w:pPr>
          </w:p>
        </w:tc>
        <w:tc>
          <w:tcPr>
            <w:tcW w:w="1140" w:type="dxa"/>
            <w:vAlign w:val="bottom"/>
            <w:gridSpan w:val="3"/>
          </w:tcPr>
          <w:p>
            <w:pPr>
              <w:jc w:val="right"/>
              <w:ind w:right="420"/>
              <w:spacing w:after="0" w:line="153"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58"/>
        </w:trPr>
        <w:tc>
          <w:tcPr>
            <w:tcW w:w="874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i w:val="1"/>
                <w:iCs w:val="1"/>
                <w:color w:val="auto"/>
                <w:w w:val="89"/>
              </w:rPr>
              <w:t>2023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i w:val="1"/>
                <w:iCs w:val="1"/>
                <w:color w:val="auto"/>
                <w:w w:val="96"/>
              </w:rPr>
              <w:t>2022</w:t>
            </w:r>
          </w:p>
        </w:tc>
        <w:tc>
          <w:tcPr>
            <w:tcW w:w="120" w:type="dxa"/>
            <w:vAlign w:val="bottom"/>
          </w:tcPr>
          <w:p>
            <w:pPr>
              <w:spacing w:after="0"/>
              <w:rPr>
                <w:sz w:val="13"/>
                <w:szCs w:val="13"/>
                <w:color w:val="auto"/>
              </w:rPr>
            </w:pPr>
          </w:p>
        </w:tc>
      </w:tr>
      <w:tr>
        <w:trPr>
          <w:trHeight w:val="153"/>
        </w:trPr>
        <w:tc>
          <w:tcPr>
            <w:tcW w:w="874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3"/>
                <w:szCs w:val="13"/>
                <w:color w:val="auto"/>
              </w:rPr>
            </w:pPr>
          </w:p>
        </w:tc>
      </w:tr>
      <w:tr>
        <w:trPr>
          <w:trHeight w:val="167"/>
        </w:trPr>
        <w:tc>
          <w:tcPr>
            <w:tcW w:w="8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88"/>
              </w:rPr>
              <w:t>(Restated)</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from continuing operations under IFRS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4,611,378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2,766,731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auto"/>
              </w:rPr>
              <w:t>719,974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51,786</w:t>
            </w:r>
          </w:p>
        </w:tc>
      </w:tr>
      <w:tr>
        <w:trPr>
          <w:trHeight w:val="27"/>
        </w:trPr>
        <w:tc>
          <w:tcPr>
            <w:tcW w:w="8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from continuing operations (Non-IFRS)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2,818,517</w:t>
            </w:r>
          </w:p>
        </w:tc>
      </w:tr>
      <w:tr>
        <w:trPr>
          <w:trHeight w:val="20"/>
        </w:trPr>
        <w:tc>
          <w:tcPr>
            <w:tcW w:w="8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Reconciliation of loss attributable to equity shareholders of Prenetics under IFRS and adjusted (loss)/profit attributable to equity shareholders of Prenetics (Non-IFRS)</w:t>
      </w:r>
    </w:p>
    <w:tbl>
      <w:tblPr>
        <w:tblLayout w:type="fixed"/>
        <w:tblInd w:w="0" w:type="dxa"/>
        <w:tblCellMar>
          <w:top w:w="0" w:type="dxa"/>
          <w:left w:w="0" w:type="dxa"/>
          <w:bottom w:w="0" w:type="dxa"/>
          <w:right w:w="0" w:type="dxa"/>
        </w:tblCellMar>
      </w:tblPr>
      <w:tr>
        <w:trPr>
          <w:trHeight w:val="134"/>
        </w:trPr>
        <w:tc>
          <w:tcPr>
            <w:tcW w:w="8740" w:type="dxa"/>
            <w:vAlign w:val="bottom"/>
          </w:tcPr>
          <w:p>
            <w:pPr>
              <w:spacing w:after="0"/>
              <w:rPr>
                <w:sz w:val="11"/>
                <w:szCs w:val="11"/>
                <w:color w:val="auto"/>
              </w:rPr>
            </w:pPr>
          </w:p>
        </w:tc>
        <w:tc>
          <w:tcPr>
            <w:tcW w:w="2280" w:type="dxa"/>
            <w:vAlign w:val="bottom"/>
            <w:gridSpan w:val="5"/>
          </w:tcPr>
          <w:p>
            <w:pPr>
              <w:jc w:val="right"/>
              <w:ind w:right="420"/>
              <w:spacing w:after="0" w:line="134" w:lineRule="exact"/>
              <w:rPr>
                <w:sz w:val="20"/>
                <w:szCs w:val="20"/>
                <w:color w:val="auto"/>
              </w:rPr>
            </w:pPr>
            <w:r>
              <w:rPr>
                <w:rFonts w:ascii="Arial" w:cs="Arial" w:eastAsia="Arial" w:hAnsi="Arial"/>
                <w:sz w:val="14"/>
                <w:szCs w:val="14"/>
                <w:b w:val="1"/>
                <w:bCs w:val="1"/>
                <w:color w:val="auto"/>
              </w:rPr>
              <w:t>For the six months ended</w:t>
            </w:r>
          </w:p>
        </w:tc>
      </w:tr>
      <w:tr>
        <w:trPr>
          <w:trHeight w:val="152"/>
        </w:trPr>
        <w:tc>
          <w:tcPr>
            <w:tcW w:w="8740" w:type="dxa"/>
            <w:vAlign w:val="bottom"/>
          </w:tcPr>
          <w:p>
            <w:pPr>
              <w:spacing w:after="0"/>
              <w:rPr>
                <w:sz w:val="13"/>
                <w:szCs w:val="13"/>
                <w:color w:val="auto"/>
              </w:rPr>
            </w:pPr>
          </w:p>
        </w:tc>
        <w:tc>
          <w:tcPr>
            <w:tcW w:w="1140" w:type="dxa"/>
            <w:vAlign w:val="bottom"/>
            <w:gridSpan w:val="3"/>
          </w:tcPr>
          <w:p>
            <w:pPr>
              <w:jc w:val="right"/>
              <w:ind w:right="420"/>
              <w:spacing w:after="0" w:line="153"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June 30,</w:t>
            </w:r>
          </w:p>
        </w:tc>
      </w:tr>
      <w:tr>
        <w:trPr>
          <w:trHeight w:val="158"/>
        </w:trPr>
        <w:tc>
          <w:tcPr>
            <w:tcW w:w="8740" w:type="dxa"/>
            <w:vAlign w:val="bottom"/>
          </w:tcPr>
          <w:p>
            <w:pPr>
              <w:spacing w:after="0"/>
              <w:rPr>
                <w:sz w:val="13"/>
                <w:szCs w:val="13"/>
                <w:color w:val="auto"/>
              </w:rPr>
            </w:pPr>
          </w:p>
        </w:tc>
        <w:tc>
          <w:tcPr>
            <w:tcW w:w="920" w:type="dxa"/>
            <w:vAlign w:val="bottom"/>
          </w:tcPr>
          <w:p>
            <w:pPr>
              <w:jc w:val="right"/>
              <w:ind w:right="236"/>
              <w:spacing w:after="0" w:line="158" w:lineRule="exact"/>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76"/>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3"/>
                <w:szCs w:val="13"/>
                <w:color w:val="auto"/>
              </w:rPr>
            </w:pPr>
          </w:p>
        </w:tc>
      </w:tr>
      <w:tr>
        <w:trPr>
          <w:trHeight w:val="152"/>
        </w:trPr>
        <w:tc>
          <w:tcPr>
            <w:tcW w:w="8740" w:type="dxa"/>
            <w:vAlign w:val="bottom"/>
          </w:tcPr>
          <w:p>
            <w:pPr>
              <w:spacing w:after="0"/>
              <w:rPr>
                <w:sz w:val="13"/>
                <w:szCs w:val="13"/>
                <w:color w:val="auto"/>
              </w:rPr>
            </w:pPr>
          </w:p>
        </w:tc>
        <w:tc>
          <w:tcPr>
            <w:tcW w:w="92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167"/>
        </w:trPr>
        <w:tc>
          <w:tcPr>
            <w:tcW w:w="8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i w:val="1"/>
                <w:iCs w:val="1"/>
                <w:color w:val="auto"/>
              </w:rPr>
              <w:t>(Restated)</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shareholders of Prenetics under IFRS</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(32,206,003)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(177,163,044)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6,237,845</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22,344,081</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9,917,705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10,549,874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Share-based payment on listing</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89,546,601</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preference shares liabilities</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60,091,353</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Fair value (gain)/loss on warrant liabilities</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(1,752,746)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1,539,577</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3,944,407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1,659,343</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Adjusted (loss)/profit attributable to equity shareholders of Prenetics (Non-IFRS)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(13,858,792</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8,567,785</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72"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79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Reconciliation of loss from operations from continuing operations under IFRS and adjusted EBITDA from continuing operations (Non-IFRS)</w:t>
      </w: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34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3"/>
        </w:trPr>
        <w:tc>
          <w:tcPr>
            <w:tcW w:w="7580" w:type="dxa"/>
            <w:vAlign w:val="bottom"/>
          </w:tcPr>
          <w:p>
            <w:pPr>
              <w:spacing w:after="0"/>
              <w:rPr>
                <w:sz w:val="13"/>
                <w:szCs w:val="13"/>
                <w:color w:val="auto"/>
              </w:rPr>
            </w:pPr>
          </w:p>
        </w:tc>
        <w:tc>
          <w:tcPr>
            <w:tcW w:w="11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67"/>
        </w:trPr>
        <w:tc>
          <w:tcPr>
            <w:tcW w:w="75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2022</w:t>
            </w:r>
          </w:p>
        </w:tc>
        <w:tc>
          <w:tcPr>
            <w:tcW w:w="120" w:type="dxa"/>
            <w:vAlign w:val="bottom"/>
          </w:tcPr>
          <w:p>
            <w:pPr>
              <w:spacing w:after="0"/>
              <w:rPr>
                <w:sz w:val="14"/>
                <w:szCs w:val="14"/>
                <w:color w:val="auto"/>
              </w:rPr>
            </w:pPr>
          </w:p>
        </w:tc>
      </w:tr>
      <w:tr>
        <w:trPr>
          <w:trHeight w:val="123"/>
        </w:trPr>
        <w:tc>
          <w:tcPr>
            <w:tcW w:w="758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0"/>
                <w:szCs w:val="10"/>
                <w:color w:val="auto"/>
              </w:rPr>
            </w:pPr>
          </w:p>
        </w:tc>
      </w:tr>
      <w:tr>
        <w:trPr>
          <w:trHeight w:val="167"/>
        </w:trPr>
        <w:tc>
          <w:tcPr>
            <w:tcW w:w="7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i w:val="1"/>
                <w:iCs w:val="1"/>
                <w:color w:val="auto"/>
              </w:rPr>
              <w:t>(Restated)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88"/>
              </w:rPr>
              <w:t>(Restated)</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from continuing operations under IFRS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(12,165,980)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(14,602,126)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(22,788,266)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3,296,861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2,940,984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10,215,945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1,863,626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2,071,568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230,422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3,077,902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924,399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7,638,653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exchange gain or loss, net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(1,323,782)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(1,146,164)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671,596</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 (Non-IFRS)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(5,251,373)</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(9,811,339)</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(4,031,650)</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10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5"/>
              </w:rPr>
              <w:t>Reconciliation of gross profit from continuing operations under IFRS and adjusted gross profit from continuing operations (Non-IFRS)</w:t>
            </w:r>
          </w:p>
        </w:tc>
      </w:tr>
      <w:tr>
        <w:trPr>
          <w:trHeight w:val="342"/>
        </w:trPr>
        <w:tc>
          <w:tcPr>
            <w:tcW w:w="7580" w:type="dxa"/>
            <w:vAlign w:val="bottom"/>
          </w:tcPr>
          <w:p>
            <w:pPr>
              <w:spacing w:after="0"/>
              <w:rPr>
                <w:sz w:val="24"/>
                <w:szCs w:val="24"/>
                <w:color w:val="auto"/>
              </w:rPr>
            </w:pPr>
          </w:p>
        </w:tc>
        <w:tc>
          <w:tcPr>
            <w:tcW w:w="34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3"/>
        </w:trPr>
        <w:tc>
          <w:tcPr>
            <w:tcW w:w="7580" w:type="dxa"/>
            <w:vAlign w:val="bottom"/>
          </w:tcPr>
          <w:p>
            <w:pPr>
              <w:spacing w:after="0"/>
              <w:rPr>
                <w:sz w:val="13"/>
                <w:szCs w:val="13"/>
                <w:color w:val="auto"/>
              </w:rPr>
            </w:pPr>
          </w:p>
        </w:tc>
        <w:tc>
          <w:tcPr>
            <w:tcW w:w="11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67"/>
        </w:trPr>
        <w:tc>
          <w:tcPr>
            <w:tcW w:w="75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2022</w:t>
            </w:r>
          </w:p>
        </w:tc>
        <w:tc>
          <w:tcPr>
            <w:tcW w:w="120" w:type="dxa"/>
            <w:vAlign w:val="bottom"/>
          </w:tcPr>
          <w:p>
            <w:pPr>
              <w:spacing w:after="0"/>
              <w:rPr>
                <w:sz w:val="14"/>
                <w:szCs w:val="14"/>
                <w:color w:val="auto"/>
              </w:rPr>
            </w:pPr>
          </w:p>
        </w:tc>
      </w:tr>
      <w:tr>
        <w:trPr>
          <w:trHeight w:val="123"/>
        </w:trPr>
        <w:tc>
          <w:tcPr>
            <w:tcW w:w="758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0"/>
                <w:szCs w:val="10"/>
                <w:color w:val="auto"/>
              </w:rPr>
            </w:pPr>
          </w:p>
        </w:tc>
      </w:tr>
      <w:tr>
        <w:trPr>
          <w:trHeight w:val="167"/>
        </w:trPr>
        <w:tc>
          <w:tcPr>
            <w:tcW w:w="7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i w:val="1"/>
                <w:iCs w:val="1"/>
                <w:color w:val="auto"/>
              </w:rPr>
              <w:t>(Restated)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88"/>
              </w:rPr>
              <w:t>(Restated)</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from continuing operations under IFRS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2,136,460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2,474,918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1,360,591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jc w:val="right"/>
              <w:spacing w:after="0"/>
              <w:rPr>
                <w:sz w:val="20"/>
                <w:szCs w:val="20"/>
                <w:color w:val="auto"/>
              </w:rPr>
            </w:pPr>
            <w:r>
              <w:rPr>
                <w:rFonts w:ascii="Arial" w:cs="Arial" w:eastAsia="Arial" w:hAnsi="Arial"/>
                <w:sz w:val="18"/>
                <w:szCs w:val="18"/>
                <w:color w:val="auto"/>
              </w:rPr>
              <w:t>335,648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384,326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26,729</w:t>
            </w:r>
          </w:p>
        </w:tc>
      </w:tr>
      <w:tr>
        <w:trPr>
          <w:trHeight w:val="27"/>
        </w:trPr>
        <w:tc>
          <w:tcPr>
            <w:tcW w:w="7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from continuing operations (Non-IFRS)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2,472,108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2,859,244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1,387,320</w:t>
            </w:r>
          </w:p>
        </w:tc>
      </w:tr>
      <w:tr>
        <w:trPr>
          <w:trHeight w:val="20"/>
        </w:trPr>
        <w:tc>
          <w:tcPr>
            <w:tcW w:w="7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b w:val="1"/>
          <w:bCs w:val="1"/>
          <w:i w:val="1"/>
          <w:iCs w:val="1"/>
          <w:color w:val="auto"/>
        </w:rPr>
        <w:t>Reconciliation of loss attributable to equity shareholders of Prenetics under IFRS and adjusted (loss)/profit attributable to equity shareholders of Prenetics (Non-IFRS)</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34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2"/>
        </w:trPr>
        <w:tc>
          <w:tcPr>
            <w:tcW w:w="7580" w:type="dxa"/>
            <w:vAlign w:val="bottom"/>
          </w:tcPr>
          <w:p>
            <w:pPr>
              <w:spacing w:after="0"/>
              <w:rPr>
                <w:sz w:val="13"/>
                <w:szCs w:val="13"/>
                <w:color w:val="auto"/>
              </w:rPr>
            </w:pPr>
          </w:p>
        </w:tc>
        <w:tc>
          <w:tcPr>
            <w:tcW w:w="11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March 31,</w:t>
            </w:r>
          </w:p>
        </w:tc>
        <w:tc>
          <w:tcPr>
            <w:tcW w:w="114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June 30,</w:t>
            </w:r>
          </w:p>
        </w:tc>
      </w:tr>
      <w:tr>
        <w:trPr>
          <w:trHeight w:val="167"/>
        </w:trPr>
        <w:tc>
          <w:tcPr>
            <w:tcW w:w="7580" w:type="dxa"/>
            <w:vAlign w:val="bottom"/>
          </w:tcPr>
          <w:p>
            <w:pPr>
              <w:spacing w:after="0"/>
              <w:rPr>
                <w:sz w:val="14"/>
                <w:szCs w:val="1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123"/>
        </w:trPr>
        <w:tc>
          <w:tcPr>
            <w:tcW w:w="7580" w:type="dxa"/>
            <w:vAlign w:val="bottom"/>
          </w:tcPr>
          <w:p>
            <w:pPr>
              <w:spacing w:after="0"/>
              <w:rPr>
                <w:sz w:val="10"/>
                <w:szCs w:val="10"/>
                <w:color w:val="auto"/>
              </w:rPr>
            </w:pPr>
          </w:p>
        </w:tc>
        <w:tc>
          <w:tcPr>
            <w:tcW w:w="940" w:type="dxa"/>
            <w:vAlign w:val="bottom"/>
          </w:tcPr>
          <w:p>
            <w:pPr>
              <w:jc w:val="right"/>
              <w:ind w:right="356"/>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920" w:type="dxa"/>
            <w:vAlign w:val="bottom"/>
          </w:tcPr>
          <w:p>
            <w:pPr>
              <w:jc w:val="right"/>
              <w:ind w:right="336"/>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1020" w:type="dxa"/>
            <w:vAlign w:val="bottom"/>
          </w:tcPr>
          <w:p>
            <w:pPr>
              <w:jc w:val="right"/>
              <w:ind w:right="396"/>
              <w:spacing w:after="0" w:line="12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r>
      <w:tr>
        <w:trPr>
          <w:trHeight w:val="167"/>
        </w:trPr>
        <w:tc>
          <w:tcPr>
            <w:tcW w:w="7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i w:val="1"/>
                <w:iCs w:val="1"/>
                <w:color w:val="auto"/>
              </w:rPr>
              <w:t>(Restated)</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i w:val="1"/>
                <w:iCs w:val="1"/>
                <w:color w:val="auto"/>
              </w:rPr>
              <w:t>(Restated)</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shareholders of Prenetics under IFRS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(21,807,573)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(10,398,430)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(144,177,194)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3,113,656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3,124,189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12,966,966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7,678,799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2,238,906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8,854,689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Share-based payment on listing</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89,546,601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preference shares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31,815,352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Fair value (gain)/loss on warrant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(492,470)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(1,260,276)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1,539,577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3,944,407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1,659,343</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Adjusted (loss)/profit attributable to equity shareholders of Prenetics (Non-IFRS)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(7,563,181)</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(6,295,611)</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2,205,334</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100" w:hanging="424"/>
        <w:spacing w:after="0" w:line="226" w:lineRule="auto"/>
        <w:tabs>
          <w:tab w:leader="none" w:pos="424"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 xml:space="preserve">In connection with the acquisition of ACT Genomics, the remaining shareholders of ACT Genomics—representing 25.61% of the fully diluted shareholding of ACT Genomics that Prenetics does not own—were granted put options which allow these remaining shareholders to put their remaining shares to Prenetics under certain conditions. The liabilities arising from such put option are recorded as </w:t>
      </w:r>
      <w:r>
        <w:rPr>
          <w:rFonts w:ascii="Arial" w:cs="Arial" w:eastAsia="Arial" w:hAnsi="Arial"/>
          <w:sz w:val="18"/>
          <w:szCs w:val="18"/>
          <w:i w:val="1"/>
          <w:iCs w:val="1"/>
          <w:color w:val="auto"/>
        </w:rPr>
        <w:t>liabilities for puttable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w:t>
      </w:r>
      <w:r>
        <w:rPr>
          <w:rFonts w:ascii="Arial" w:cs="Arial" w:eastAsia="Arial" w:hAnsi="Arial"/>
          <w:sz w:val="18"/>
          <w:szCs w:val="18"/>
          <w:color w:val="auto"/>
        </w:rPr>
        <w:t>, and are valued at the present value of the exercise price of the put option.</w:t>
      </w:r>
    </w:p>
    <w:p>
      <w:pPr>
        <w:sectPr>
          <w:pgSz w:w="11900" w:h="16838" w:orient="portrait"/>
          <w:cols w:equalWidth="0" w:num="1">
            <w:col w:w="11024"/>
          </w:cols>
          <w:pgMar w:left="436" w:top="972" w:right="439" w:bottom="1440" w:gutter="0" w:footer="0" w:header="0"/>
        </w:sectPr>
      </w:pPr>
    </w:p>
    <w:bookmarkStart w:id="11" w:name="page12"/>
    <w:bookmarkEnd w:id="11"/>
    <w:p>
      <w:pPr>
        <w:ind w:left="424" w:hanging="424"/>
        <w:spacing w:after="0"/>
        <w:tabs>
          <w:tab w:leader="none" w:pos="424"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351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51790"/>
                    </a:xfrm>
                    <a:prstGeom prst="rect">
                      <a:avLst/>
                    </a:prstGeom>
                    <a:noFill/>
                  </pic:spPr>
                </pic:pic>
              </a:graphicData>
            </a:graphic>
          </wp:anchor>
        </w:drawing>
        <w:t>Represents number of authorized and issued shares as follows:</w:t>
      </w:r>
    </w:p>
    <w:p>
      <w:pPr>
        <w:spacing w:after="0" w:line="212"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June 30,</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66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i w:val="1"/>
                <w:iCs w:val="1"/>
                <w:color w:val="auto"/>
              </w:rPr>
              <w:t>2023</w:t>
            </w:r>
          </w:p>
        </w:tc>
        <w:tc>
          <w:tcPr>
            <w:tcW w:w="2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i w:val="1"/>
                <w:iCs w:val="1"/>
                <w:color w:val="auto"/>
              </w:rPr>
              <w:t>2022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Number of authorized shares of $0.0001 each</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2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Number of issued shares</w:t>
            </w: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157,905,434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158,820,280</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136,983,110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24" w:hanging="424"/>
        <w:spacing w:after="0"/>
        <w:tabs>
          <w:tab w:leader="none" w:pos="424"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Includes equity-settled share-based payment expenses (excluding share-based payment on listing) from continuing operations as follows:</w:t>
      </w:r>
    </w:p>
    <w:p>
      <w:pPr>
        <w:spacing w:after="0" w:line="208"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w:t>
            </w:r>
          </w:p>
        </w:tc>
      </w:tr>
      <w:tr>
        <w:trPr>
          <w:trHeight w:val="153"/>
        </w:trPr>
        <w:tc>
          <w:tcPr>
            <w:tcW w:w="7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June 30,</w:t>
            </w:r>
          </w:p>
        </w:tc>
        <w:tc>
          <w:tcPr>
            <w:tcW w:w="92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67"/>
        </w:trPr>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60" w:type="dxa"/>
            <w:vAlign w:val="bottom"/>
          </w:tcPr>
          <w:p>
            <w:pPr>
              <w:spacing w:after="0"/>
              <w:rPr>
                <w:sz w:val="14"/>
                <w:szCs w:val="14"/>
                <w:color w:val="auto"/>
              </w:rPr>
            </w:pPr>
          </w:p>
        </w:tc>
      </w:tr>
      <w:tr>
        <w:trPr>
          <w:trHeight w:val="123"/>
        </w:trPr>
        <w:tc>
          <w:tcPr>
            <w:tcW w:w="7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0"/>
                <w:szCs w:val="10"/>
                <w:color w:val="auto"/>
              </w:rPr>
            </w:pPr>
          </w:p>
        </w:tc>
      </w:tr>
      <w:tr>
        <w:trPr>
          <w:trHeight w:val="167"/>
        </w:trPr>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88"/>
              </w:rPr>
              <w:t>(Restated)</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103,868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31,424</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1,360,896</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1,245,847</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other operating expenses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4,731,546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16,489,378</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Total equity-settled share-based payment expenses (excluding share-based payment on listing)</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6,196,310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17,766,649</w:t>
            </w:r>
          </w:p>
        </w:tc>
        <w:tc>
          <w:tcPr>
            <w:tcW w:w="6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7800" w:type="dxa"/>
            <w:vAlign w:val="bottom"/>
          </w:tcPr>
          <w:p>
            <w:pPr>
              <w:spacing w:after="0"/>
              <w:rPr>
                <w:sz w:val="24"/>
                <w:szCs w:val="24"/>
                <w:color w:val="auto"/>
              </w:rPr>
            </w:pPr>
          </w:p>
        </w:tc>
        <w:tc>
          <w:tcPr>
            <w:tcW w:w="2780" w:type="dxa"/>
            <w:vAlign w:val="bottom"/>
            <w:gridSpan w:val="8"/>
          </w:tcPr>
          <w:p>
            <w:pPr>
              <w:ind w:left="500"/>
              <w:spacing w:after="0"/>
              <w:rPr>
                <w:sz w:val="20"/>
                <w:szCs w:val="20"/>
                <w:color w:val="auto"/>
              </w:rPr>
            </w:pPr>
            <w:r>
              <w:rPr>
                <w:rFonts w:ascii="Arial" w:cs="Arial" w:eastAsia="Arial" w:hAnsi="Arial"/>
                <w:sz w:val="14"/>
                <w:szCs w:val="14"/>
                <w:b w:val="1"/>
                <w:bCs w:val="1"/>
                <w:color w:val="auto"/>
              </w:rPr>
              <w:t>For the three months ended</w:t>
            </w:r>
          </w:p>
        </w:tc>
      </w:tr>
      <w:tr>
        <w:trPr>
          <w:trHeight w:val="153"/>
        </w:trPr>
        <w:tc>
          <w:tcPr>
            <w:tcW w:w="7800" w:type="dxa"/>
            <w:vAlign w:val="bottom"/>
          </w:tcPr>
          <w:p>
            <w:pPr>
              <w:spacing w:after="0"/>
              <w:rPr>
                <w:sz w:val="13"/>
                <w:szCs w:val="13"/>
                <w:color w:val="auto"/>
              </w:rPr>
            </w:pPr>
          </w:p>
        </w:tc>
        <w:tc>
          <w:tcPr>
            <w:tcW w:w="92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March 31,</w:t>
            </w: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67"/>
        </w:trPr>
        <w:tc>
          <w:tcPr>
            <w:tcW w:w="7800" w:type="dxa"/>
            <w:vAlign w:val="bottom"/>
          </w:tcPr>
          <w:p>
            <w:pPr>
              <w:spacing w:after="0"/>
              <w:rPr>
                <w:sz w:val="14"/>
                <w:szCs w:val="1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60" w:type="dxa"/>
            <w:vAlign w:val="bottom"/>
          </w:tcPr>
          <w:p>
            <w:pPr>
              <w:spacing w:after="0"/>
              <w:rPr>
                <w:sz w:val="14"/>
                <w:szCs w:val="14"/>
                <w:color w:val="auto"/>
              </w:rPr>
            </w:pPr>
          </w:p>
        </w:tc>
      </w:tr>
      <w:tr>
        <w:trPr>
          <w:trHeight w:val="123"/>
        </w:trPr>
        <w:tc>
          <w:tcPr>
            <w:tcW w:w="7800" w:type="dxa"/>
            <w:vAlign w:val="bottom"/>
          </w:tcPr>
          <w:p>
            <w:pPr>
              <w:spacing w:after="0"/>
              <w:rPr>
                <w:sz w:val="10"/>
                <w:szCs w:val="10"/>
                <w:color w:val="auto"/>
              </w:rPr>
            </w:pPr>
          </w:p>
        </w:tc>
        <w:tc>
          <w:tcPr>
            <w:tcW w:w="780" w:type="dxa"/>
            <w:vAlign w:val="bottom"/>
          </w:tcPr>
          <w:p>
            <w:pPr>
              <w:jc w:val="right"/>
              <w:ind w:right="279"/>
              <w:spacing w:after="0" w:line="12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0"/>
                <w:szCs w:val="10"/>
                <w:color w:val="auto"/>
              </w:rPr>
            </w:pPr>
          </w:p>
        </w:tc>
      </w:tr>
      <w:tr>
        <w:trPr>
          <w:trHeight w:val="167"/>
        </w:trPr>
        <w:tc>
          <w:tcPr>
            <w:tcW w:w="7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i w:val="1"/>
                <w:iCs w:val="1"/>
                <w:color w:val="auto"/>
                <w:w w:val="88"/>
              </w:rPr>
              <w:t>(Restated)</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88"/>
              </w:rPr>
              <w:t>(Restated)</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58,613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45,255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23,745</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874,389</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486,507</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708,511</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other operating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2,340,502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2,391,044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9,511,007</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Total equity-settled share-based payment expenses (excluding share-based payment on listing)</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3,273,504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2,922,806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10,243,263</w:t>
            </w:r>
          </w:p>
        </w:tc>
        <w:tc>
          <w:tcPr>
            <w:tcW w:w="6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4" w:hanging="424"/>
        <w:spacing w:after="0"/>
        <w:tabs>
          <w:tab w:leader="none" w:pos="424"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The acquisition of the net assets of Artisan Acquisition Corp. (“Artisan”) on May 18, 2022 does not meet the definition of a business under IFRS</w:t>
      </w:r>
    </w:p>
    <w:p>
      <w:pPr>
        <w:spacing w:after="0" w:line="2" w:lineRule="exact"/>
        <w:rPr>
          <w:sz w:val="20"/>
          <w:szCs w:val="20"/>
          <w:color w:val="auto"/>
        </w:rPr>
      </w:pPr>
    </w:p>
    <w:p>
      <w:pPr>
        <w:ind w:left="424" w:right="120"/>
        <w:spacing w:after="0" w:line="280" w:lineRule="auto"/>
        <w:rPr>
          <w:sz w:val="20"/>
          <w:szCs w:val="20"/>
          <w:color w:val="auto"/>
        </w:rPr>
      </w:pPr>
      <w:r>
        <w:rPr>
          <w:rFonts w:ascii="Arial" w:cs="Arial" w:eastAsia="Arial" w:hAnsi="Arial"/>
          <w:sz w:val="16"/>
          <w:szCs w:val="16"/>
          <w:color w:val="auto"/>
        </w:rPr>
        <w:t>and has therefore been accounted for as a share-based payment. The excess of fair value of Prenetics shares issued over the fair value of Artisan’s identifiable net assets acquired represents compensation for the service of a stock exchange listing for its shares and is expensed as incurred.</w:t>
      </w:r>
    </w:p>
    <w:p>
      <w:pPr>
        <w:spacing w:after="0" w:line="1" w:lineRule="exact"/>
        <w:rPr>
          <w:sz w:val="20"/>
          <w:szCs w:val="20"/>
          <w:color w:val="auto"/>
        </w:rPr>
      </w:pPr>
    </w:p>
    <w:p>
      <w:pPr>
        <w:ind w:left="424" w:right="20" w:hanging="424"/>
        <w:spacing w:after="0" w:line="227" w:lineRule="auto"/>
        <w:tabs>
          <w:tab w:leader="none" w:pos="424"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 xml:space="preserve">We ceased our COVID-19 testing business entirely in 2023 Q2. As a result, COVID-19 testing business is reported as a discontinued operation under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In accordance with IFRS 5, the results of the discontinued operation have been presented separately from the continuing operations in the consolidated statements of profit or loss and other comprehensive income. The comparative information in the consolidated statements of profit or loss and other comprehensive income has also been re-presented to show the results of discontinued operation separately.</w:t>
      </w:r>
    </w:p>
    <w:sectPr>
      <w:pgSz w:w="11900" w:h="16838" w:orient="portrait"/>
      <w:cols w:equalWidth="0" w:num="1">
        <w:col w:w="11024"/>
      </w:cols>
      <w:pgMar w:left="436" w:top="8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5"/>
      <w:numFmt w:val="bullet"/>
      <w:start w:val="1"/>
    </w:lvl>
  </w:abstractNum>
  <w:abstractNum w:abstractNumId="8">
    <w:nsid w:val="5BD062C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2023-09-18T08:18:57Z</dcterms:created>
  <dcterms:modified xsi:type="dcterms:W3CDTF">2023-09-18T08:18:57Z</dcterms:modified>
</cp:coreProperties>
</file>