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91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911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VANDERVEEN DAVID</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Prenetics Global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2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0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UNIT 703-706, K11 ATELIER</w:t>
            </w:r>
          </w:p>
        </w:tc>
        <w:tc>
          <w:tcPr>
            <w:tcW w:w="134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728 KINGS ROAD, QUARRY BAY</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HONG KONG</w:t>
      </w:r>
      <w:r>
        <w:rPr>
          <w:sz w:val="20"/>
          <w:szCs w:val="20"/>
          <w:color w:val="auto"/>
        </w:rPr>
        <w:tab/>
      </w:r>
      <w:r>
        <w:rPr>
          <w:rFonts w:ascii="Times New Roman" w:cs="Times New Roman" w:eastAsia="Times New Roman" w:hAnsi="Times New Roman"/>
          <w:sz w:val="16"/>
          <w:szCs w:val="16"/>
          <w:color w:val="0000FF"/>
        </w:rPr>
        <w:t>K3</w:t>
      </w:r>
    </w:p>
    <w:p>
      <w:pPr>
        <w:spacing w:after="0" w:line="324"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 par value $0.0015</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06/15/2026</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1"/>
                <w:szCs w:val="2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6,944</w:t>
            </w:r>
            <w:r>
              <w:rPr>
                <w:rFonts w:ascii="Times New Roman" w:cs="Times New Roman" w:eastAsia="Times New Roman" w:hAnsi="Times New Roman"/>
                <w:sz w:val="21"/>
                <w:szCs w:val="21"/>
                <w:color w:val="008000"/>
                <w:w w:val="95"/>
                <w:vertAlign w:val="superscript"/>
              </w:rPr>
              <w:t>(1)</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3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45,249</w:t>
            </w:r>
          </w:p>
        </w:tc>
        <w:tc>
          <w:tcPr>
            <w:tcW w:w="280" w:type="dxa"/>
            <w:vAlign w:val="bottom"/>
          </w:tcPr>
          <w:p>
            <w:pPr>
              <w:spacing w:after="0"/>
              <w:rPr>
                <w:sz w:val="21"/>
                <w:szCs w:val="21"/>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8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06/15/2026</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8,681</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07/15/2032</w:t>
            </w:r>
          </w:p>
        </w:tc>
        <w:tc>
          <w:tcPr>
            <w:tcW w:w="120" w:type="dxa"/>
            <w:vAlign w:val="bottom"/>
          </w:tcPr>
          <w:p>
            <w:pPr>
              <w:spacing w:after="0"/>
              <w:rPr>
                <w:sz w:val="12"/>
                <w:szCs w:val="12"/>
                <w:color w:val="auto"/>
              </w:rPr>
            </w:pPr>
          </w:p>
        </w:tc>
        <w:tc>
          <w:tcPr>
            <w:tcW w:w="540" w:type="dxa"/>
            <w:vAlign w:val="bottom"/>
          </w:tcPr>
          <w:p>
            <w:pPr>
              <w:jc w:val="center"/>
              <w:ind w:right="113"/>
              <w:spacing w:after="0" w:line="143" w:lineRule="exact"/>
              <w:rPr>
                <w:sz w:val="20"/>
                <w:szCs w:val="20"/>
                <w:color w:val="auto"/>
              </w:rPr>
            </w:pPr>
            <w:r>
              <w:rPr>
                <w:rFonts w:ascii="Times New Roman" w:cs="Times New Roman" w:eastAsia="Times New Roman" w:hAnsi="Times New Roman"/>
                <w:sz w:val="13"/>
                <w:szCs w:val="13"/>
                <w:color w:val="0000FF"/>
                <w:w w:val="97"/>
              </w:rPr>
              <w:t>Share,</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8,681</w:t>
            </w:r>
          </w:p>
        </w:tc>
        <w:tc>
          <w:tcPr>
            <w:tcW w:w="40" w:type="dxa"/>
            <w:vAlign w:val="bottom"/>
          </w:tcPr>
          <w:p>
            <w:pPr>
              <w:spacing w:after="0"/>
              <w:rPr>
                <w:sz w:val="12"/>
                <w:szCs w:val="12"/>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13"/>
              <w:spacing w:after="0" w:line="143" w:lineRule="exact"/>
              <w:rPr>
                <w:sz w:val="20"/>
                <w:szCs w:val="20"/>
                <w:color w:val="auto"/>
              </w:rPr>
            </w:pPr>
            <w:r>
              <w:rPr>
                <w:rFonts w:ascii="Times New Roman" w:cs="Times New Roman" w:eastAsia="Times New Roman" w:hAnsi="Times New Roman"/>
                <w:sz w:val="13"/>
                <w:szCs w:val="13"/>
                <w:color w:val="0000FF"/>
                <w:w w:val="99"/>
              </w:rPr>
              <w:t>$0.0015</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-2381250</wp:posOffset>
            </wp:positionV>
            <wp:extent cx="29210" cy="2386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863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6,944 Class A Ordinary Shares of the Issuer issued and delivered upon settlement of vested Restricted Stock Units ("RSUs") granted under the Issuer's 2022 Share Incentive Plan. Any unvested RSUs were forfeited in connection with David Vanderveen's termination of services as director of the Issuer.</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granted under the Issuer's 2022 Share Incentive Plan, represents a contingent right to receive one Class A Ordinary Share. 6,944 RSUs vested and were settled and delivered in shares on June 15, 2026. Any remaining unvested RSUs were forfeited in connection with termination of service.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Hoi Chun Lo,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10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David Eric  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Vanderveen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506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7191" TargetMode="External"/><Relationship Id="rId14" Type="http://schemas.openxmlformats.org/officeDocument/2006/relationships/hyperlink" Target="http://www.sec.gov/cgi-bin/browse-edgar?action=getcompany&amp;CIK=000187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2026-06-16T07:40:52Z</dcterms:created>
  <dcterms:modified xsi:type="dcterms:W3CDTF">2026-06-16T07:40:52Z</dcterms:modified>
</cp:coreProperties>
</file>