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019"/>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019"/>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6360" w:type="dxa"/>
            <w:vAlign w:val="bottom"/>
            <w:gridSpan w:val="3"/>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9"/>
              </w:rPr>
              <w:t>For the month of September 2025</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8"/>
        </w:trPr>
        <w:tc>
          <w:tcPr>
            <w:tcW w:w="1780" w:type="dxa"/>
            <w:vAlign w:val="bottom"/>
          </w:tcPr>
          <w:p>
            <w:pPr>
              <w:spacing w:after="0"/>
              <w:rPr>
                <w:sz w:val="24"/>
                <w:szCs w:val="24"/>
                <w:color w:val="auto"/>
              </w:rPr>
            </w:pPr>
          </w:p>
        </w:tc>
        <w:tc>
          <w:tcPr>
            <w:tcW w:w="6360" w:type="dxa"/>
            <w:vAlign w:val="bottom"/>
            <w:gridSpan w:val="3"/>
          </w:tcPr>
          <w:p>
            <w:pPr>
              <w:jc w:val="center"/>
              <w:ind w:right="2250"/>
              <w:spacing w:after="0"/>
              <w:rPr>
                <w:sz w:val="20"/>
                <w:szCs w:val="20"/>
                <w:color w:val="auto"/>
              </w:rPr>
            </w:pPr>
            <w:r>
              <w:rPr>
                <w:rFonts w:ascii="Times New Roman" w:cs="Times New Roman" w:eastAsia="Times New Roman" w:hAnsi="Times New Roman"/>
                <w:sz w:val="32"/>
                <w:szCs w:val="32"/>
                <w:b w:val="1"/>
                <w:bCs w:val="1"/>
                <w:color w:val="auto"/>
              </w:rPr>
              <w:t>Prenetics Global Limited</w:t>
            </w:r>
          </w:p>
        </w:tc>
        <w:tc>
          <w:tcPr>
            <w:tcW w:w="0" w:type="dxa"/>
            <w:vAlign w:val="bottom"/>
          </w:tcPr>
          <w:p>
            <w:pPr>
              <w:spacing w:after="0"/>
              <w:rPr>
                <w:sz w:val="1"/>
                <w:szCs w:val="1"/>
                <w:color w:val="auto"/>
              </w:rPr>
            </w:pPr>
          </w:p>
        </w:tc>
      </w:tr>
      <w:tr>
        <w:trPr>
          <w:trHeight w:val="192"/>
        </w:trPr>
        <w:tc>
          <w:tcPr>
            <w:tcW w:w="1780" w:type="dxa"/>
            <w:vAlign w:val="bottom"/>
            <w:vMerge w:val="restart"/>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11401 Granite St.</w:t>
            </w:r>
          </w:p>
        </w:tc>
        <w:tc>
          <w:tcPr>
            <w:tcW w:w="86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326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Unit 703-706, K11 Atelier</w:t>
            </w:r>
          </w:p>
        </w:tc>
        <w:tc>
          <w:tcPr>
            <w:tcW w:w="0" w:type="dxa"/>
            <w:vAlign w:val="bottom"/>
          </w:tcPr>
          <w:p>
            <w:pPr>
              <w:spacing w:after="0"/>
              <w:rPr>
                <w:sz w:val="1"/>
                <w:szCs w:val="1"/>
                <w:color w:val="auto"/>
              </w:rPr>
            </w:pPr>
          </w:p>
        </w:tc>
      </w:tr>
      <w:tr>
        <w:trPr>
          <w:trHeight w:val="486"/>
        </w:trPr>
        <w:tc>
          <w:tcPr>
            <w:tcW w:w="17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tcPr>
          <w:p>
            <w:pPr>
              <w:jc w:val="center"/>
              <w:ind w:right="195"/>
              <w:spacing w:after="0" w:line="176" w:lineRule="exact"/>
              <w:rPr>
                <w:sz w:val="20"/>
                <w:szCs w:val="20"/>
                <w:color w:val="auto"/>
              </w:rPr>
            </w:pPr>
            <w:r>
              <w:rPr>
                <w:rFonts w:ascii="Times New Roman" w:cs="Times New Roman" w:eastAsia="Times New Roman" w:hAnsi="Times New Roman"/>
                <w:sz w:val="17"/>
                <w:szCs w:val="17"/>
                <w:b w:val="1"/>
                <w:bCs w:val="1"/>
                <w:color w:val="auto"/>
              </w:rPr>
              <w:t>Charlotte, NC 28273</w:t>
            </w:r>
          </w:p>
        </w:tc>
        <w:tc>
          <w:tcPr>
            <w:tcW w:w="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260" w:type="dxa"/>
            <w:vAlign w:val="bottom"/>
          </w:tcPr>
          <w:p>
            <w:pPr>
              <w:jc w:val="center"/>
              <w:ind w:left="870"/>
              <w:spacing w:after="0" w:line="176" w:lineRule="exact"/>
              <w:rPr>
                <w:sz w:val="20"/>
                <w:szCs w:val="20"/>
                <w:color w:val="auto"/>
              </w:rPr>
            </w:pPr>
            <w:r>
              <w:rPr>
                <w:rFonts w:ascii="Times New Roman" w:cs="Times New Roman" w:eastAsia="Times New Roman" w:hAnsi="Times New Roman"/>
                <w:sz w:val="18"/>
                <w:szCs w:val="18"/>
                <w:b w:val="1"/>
                <w:bCs w:val="1"/>
                <w:color w:val="auto"/>
              </w:rPr>
              <w:t>728 King’s Road, Quarry Bay</w:t>
            </w:r>
          </w:p>
        </w:tc>
        <w:tc>
          <w:tcPr>
            <w:tcW w:w="0" w:type="dxa"/>
            <w:vAlign w:val="bottom"/>
          </w:tcPr>
          <w:p>
            <w:pPr>
              <w:spacing w:after="0"/>
              <w:rPr>
                <w:sz w:val="1"/>
                <w:szCs w:val="1"/>
                <w:color w:val="auto"/>
              </w:rPr>
            </w:pPr>
          </w:p>
        </w:tc>
      </w:tr>
      <w:tr>
        <w:trPr>
          <w:trHeight w:val="238"/>
        </w:trPr>
        <w:tc>
          <w:tcPr>
            <w:tcW w:w="178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USA</w:t>
            </w:r>
          </w:p>
        </w:tc>
        <w:tc>
          <w:tcPr>
            <w:tcW w:w="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0" w:type="dxa"/>
            <w:vAlign w:val="bottom"/>
          </w:tcPr>
          <w:p>
            <w:pPr>
              <w:spacing w:after="0"/>
              <w:rPr>
                <w:sz w:val="1"/>
                <w:szCs w:val="1"/>
                <w:color w:val="auto"/>
              </w:rPr>
            </w:pPr>
          </w:p>
        </w:tc>
      </w:tr>
      <w:tr>
        <w:trPr>
          <w:trHeight w:val="531"/>
        </w:trPr>
        <w:tc>
          <w:tcPr>
            <w:tcW w:w="1780" w:type="dxa"/>
            <w:vAlign w:val="bottom"/>
          </w:tcPr>
          <w:p>
            <w:pPr>
              <w:spacing w:after="0"/>
              <w:rPr>
                <w:sz w:val="24"/>
                <w:szCs w:val="24"/>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(Addresses of principal executive offices)</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320" w:top="1440" w:right="1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INCORPORATION BY REFERENCE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Report on Form 6-K (this “Report”), shall be deemed to be incorporated by reference into the registration statements on Form F-3 (File nos. 333-274762, 333-276538 and 333-288824) and Form S-8 (File Nos. 333-279019, 333-271552 and 333-267956) of Prenetics Global Limited (the "Company") (including any prospectuses forming a part of such registration statements) and to be a part thereof from the date on which this Report is furnished, to the extent not superseded by documents or reports subsequently filed or furnished.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DISCLOSURE OF RESULTS OF OPERATIONS</w:t>
      </w:r>
    </w:p>
    <w:p>
      <w:pPr>
        <w:spacing w:after="0" w:line="2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hereby furnishes the press release announcing its unaudited financial results for the second quarter ended June 30, 2025, which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60" w:type="dxa"/>
            <w:vAlign w:val="bottom"/>
            <w:gridSpan w:val="2"/>
          </w:tcPr>
          <w:p>
            <w:pPr>
              <w:ind w:left="318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487"/>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96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Press release - Prenetics Announces Second Quarter 2025 Financial Results</w:t>
            </w: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ectPr>
          <w:pgSz w:w="11900" w:h="16838" w:orient="portrait"/>
          <w:cols w:equalWidth="0" w:num="1">
            <w:col w:w="11240"/>
          </w:cols>
          <w:pgMar w:left="320" w:top="13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493776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37760" cy="2540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 w:name="page4"/>
    <w:bookmarkEnd w:id="3"/>
    <w:p>
      <w:pPr>
        <w:ind w:right="640"/>
        <w:spacing w:after="0" w:line="275" w:lineRule="auto"/>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25905" cy="60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25905" cy="608330"/>
                    </a:xfrm>
                    <a:prstGeom prst="rect">
                      <a:avLst/>
                    </a:prstGeom>
                    <a:noFill/>
                  </pic:spPr>
                </pic:pic>
              </a:graphicData>
            </a:graphic>
          </wp:anchor>
        </w:drawing>
        <w:t>Prenetics Announces Second Quarter 2025 Financial Results with IM8 on Track to Achieve $100M Annual Recurring Revenue by Year’s End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23"/>
          <w:szCs w:val="23"/>
          <w:i w:val="1"/>
          <w:iCs w:val="1"/>
          <w:color w:val="auto"/>
          <w:vertAlign w:val="superscript"/>
        </w:rPr>
        <w:t>st</w:t>
      </w:r>
      <w:r>
        <w:rPr>
          <w:rFonts w:ascii="Times New Roman" w:cs="Times New Roman" w:eastAsia="Times New Roman" w:hAnsi="Times New Roman"/>
          <w:sz w:val="18"/>
          <w:szCs w:val="18"/>
          <w:i w:val="1"/>
          <w:iCs w:val="1"/>
          <w:color w:val="auto"/>
        </w:rPr>
        <w:t xml:space="preserve"> Half revenue grew 452.1% to $32.3 million YoY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IM8 achieved $5.9 million revenue in August 2025, representing a CAGR</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 xml:space="preserve"> of over 3,100%</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Prenetics increases FY2025 revenue guidance range of $85 – $100 million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Prenetics provides update on Bitcoin Treasury, adding a total of 228 Bitcoin, and accumulating 1 BTC daily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Prenetics to achieve break-even in Q1 2026, and EBITDA positive moving forward</w:t>
      </w:r>
    </w:p>
    <w:p>
      <w:pPr>
        <w:spacing w:after="0" w:line="25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CHARLOTTE, N.C., September 12, 2025 </w:t>
      </w:r>
      <w:r>
        <w:rPr>
          <w:rFonts w:ascii="Times New Roman" w:cs="Times New Roman" w:eastAsia="Times New Roman" w:hAnsi="Times New Roman"/>
          <w:sz w:val="16"/>
          <w:szCs w:val="16"/>
          <w:color w:val="auto"/>
        </w:rPr>
        <w:t>– Prenetics Global Limited (NASDAQ: PRE) (“Prenetics” or the “Company”), a leading health sciences company, today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announced unaudited financial results for the second quarter ended June 30, 2025, along with recent business updates.</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Danny Yeung, Chief Executive Officer and Co-Founder remarked “This quarter marks a pivotal moment for Prenetics as we demonstrate the successful execution of our strategic vision. The phenomenal growth of IM8, which is on track to achieve an unprecedented $100 million in annual recurring revenue within just our first year of operations, represents a milestone that is virtually unheard of in any industry. With IM8 currently generating $5.9 million in monthly revenue in August, we aim to hit $9 million per month by the end of the year, which would solidify our path to this extraordinary achievement. With such strong growth momentum, we believe we can build IM8 into one of the World's largest health and wellness brands in the coming years. Beyond the financial metrics, what makes me truly proud is the positive impact IM8 has had on so many people's health and wellness journeys - with over 8 million servings delivered and more than 300,000 customer orders, we are genuinely making a difference in people's lives.”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Danny further added “We've embraced a new strategic philosophy focused on optimizing both health and wealth - just as IM8 enhances people's physical well-being, our disciplined Bitcoin treasury strategy is designed to enhance our financial well-being and create long-term value preservation for our shareholders. We are not just building a successful health sciences company; we are building a company that is forward-thinking and resilient. With a strong balance sheet of $90 million in cash and BTC, a clear path to profitability in early 2026, and multiple avenues for growth, we are more confident than ever in our ability to deliver significant and sustainable long-term value to our shareholders.”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Second Quarter 2025 Financial Highlights</w:t>
      </w:r>
      <w:r>
        <w:rPr>
          <w:rFonts w:ascii="Times New Roman" w:cs="Times New Roman" w:eastAsia="Times New Roman" w:hAnsi="Times New Roman"/>
          <w:sz w:val="21"/>
          <w:szCs w:val="21"/>
          <w:b w:val="1"/>
          <w:bCs w:val="1"/>
          <w:color w:val="auto"/>
          <w:vertAlign w:val="superscript"/>
        </w:rPr>
        <w:t>2</w:t>
      </w:r>
    </w:p>
    <w:p>
      <w:pPr>
        <w:ind w:left="640" w:hanging="308"/>
        <w:spacing w:after="0" w:line="228" w:lineRule="auto"/>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of $17.7 million in the second quarter of 2025, an increase of 594.9% as compared to the second quarter of 2024.</w:t>
      </w:r>
    </w:p>
    <w:p>
      <w:pPr>
        <w:ind w:left="640" w:hanging="308"/>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of $7.3 million in the second quarter of 2025, an increase of 233.5% as compared to the second quarter of 2024.</w:t>
      </w:r>
    </w:p>
    <w:p>
      <w:pPr>
        <w:spacing w:after="0" w:line="5" w:lineRule="exact"/>
        <w:rPr>
          <w:rFonts w:ascii="Times New Roman" w:cs="Times New Roman" w:eastAsia="Times New Roman" w:hAnsi="Times New Roman"/>
          <w:sz w:val="16"/>
          <w:szCs w:val="16"/>
          <w:color w:val="auto"/>
        </w:rPr>
      </w:pPr>
    </w:p>
    <w:p>
      <w:pPr>
        <w:ind w:left="640" w:hanging="308"/>
        <w:spacing w:after="0" w:line="183" w:lineRule="auto"/>
        <w:tabs>
          <w:tab w:leader="none" w:pos="6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5"/>
          <w:szCs w:val="15"/>
          <w:color w:val="auto"/>
        </w:rPr>
        <w:t xml:space="preserve"> loss of $(4.1) million in the second quarter of 2025, a decrease of 8.7% as compared to the first quarter of 2025.</w:t>
      </w:r>
    </w:p>
    <w:p>
      <w:pPr>
        <w:ind w:left="640" w:hanging="308"/>
        <w:spacing w:after="0"/>
        <w:tabs>
          <w:tab w:leader="none" w:pos="64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Loss of $(10.9) million in the second quarter of 2025, an increase of 22.7% as compared to the second quarter of 2024.</w:t>
      </w:r>
    </w:p>
    <w:p>
      <w:pPr>
        <w:spacing w:after="0" w:line="4" w:lineRule="exact"/>
        <w:rPr>
          <w:rFonts w:ascii="Arial" w:cs="Arial" w:eastAsia="Arial" w:hAnsi="Arial"/>
          <w:sz w:val="16"/>
          <w:szCs w:val="16"/>
          <w:color w:val="auto"/>
        </w:rPr>
      </w:pPr>
    </w:p>
    <w:p>
      <w:pPr>
        <w:ind w:left="660" w:right="20" w:hanging="328"/>
        <w:spacing w:after="0" w:line="207" w:lineRule="auto"/>
        <w:tabs>
          <w:tab w:leader="none" w:pos="64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current assets</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were $90.3 million, including $63.5 million of cash. As of September 10, 2025, the Company held 228.42 Bitcoin</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with a value of $26.1 million and remained debt-free.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2" w:lineRule="exact"/>
        <w:rPr>
          <w:sz w:val="20"/>
          <w:szCs w:val="20"/>
          <w:color w:val="auto"/>
        </w:rPr>
      </w:pPr>
    </w:p>
    <w:p>
      <w:pPr>
        <w:ind w:left="100" w:hanging="92"/>
        <w:spacing w:after="0"/>
        <w:tabs>
          <w:tab w:leader="none" w:pos="10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CAGR refers to the annualized rate derived by applying the standard CAGR formula to IM8’s eight-month revenue increase from December 2024 to August 2025.</w:t>
      </w:r>
    </w:p>
    <w:p>
      <w:pPr>
        <w:ind w:firstLine="8"/>
        <w:spacing w:after="0" w:line="210" w:lineRule="auto"/>
        <w:tabs>
          <w:tab w:leader="none" w:pos="98"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Unless otherwise specified, financial figures in this press release denotes results from continuing operations, which excludes our divested ACT Genomics. Refer to section </w:t>
      </w:r>
      <w:r>
        <w:rPr>
          <w:rFonts w:ascii="Times New Roman" w:cs="Times New Roman" w:eastAsia="Times New Roman" w:hAnsi="Times New Roman"/>
          <w:sz w:val="14"/>
          <w:szCs w:val="14"/>
          <w:i w:val="1"/>
          <w:iCs w:val="1"/>
          <w:color w:val="auto"/>
        </w:rPr>
        <w:t>ACT Genomics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Divestment </w:t>
      </w:r>
      <w:r>
        <w:rPr>
          <w:rFonts w:ascii="Times New Roman" w:cs="Times New Roman" w:eastAsia="Times New Roman" w:hAnsi="Times New Roman"/>
          <w:sz w:val="14"/>
          <w:szCs w:val="14"/>
          <w:color w:val="auto"/>
        </w:rPr>
        <w:t>on the divestment of ACT Genomics and related IFRS Accounting Standards.</w:t>
      </w:r>
    </w:p>
    <w:p>
      <w:pPr>
        <w:spacing w:after="0" w:line="1" w:lineRule="exact"/>
        <w:rPr>
          <w:rFonts w:ascii="Times New Roman" w:cs="Times New Roman" w:eastAsia="Times New Roman" w:hAnsi="Times New Roman"/>
          <w:sz w:val="19"/>
          <w:szCs w:val="19"/>
          <w:color w:val="auto"/>
          <w:vertAlign w:val="superscript"/>
        </w:rPr>
      </w:pPr>
    </w:p>
    <w:p>
      <w:pPr>
        <w:jc w:val="both"/>
        <w:spacing w:after="0" w:line="242"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Adjusted EBITDA is a non-IFRS financial measure defined as loss for the period excluding (1) depreciation and amortization, (2) interest income, (3) other finance costs, (4) income tax (credit)/expense, (5) amortization of deferred expenses, (6) equity-settled share-based payment expenses, (7) acquisition and transaction-related costs, (8) strategic realignment and discontinued products impact, (9) exchange gain or loss, net, (10) fair value loss on financial assets at fair value through profit or loss, (11) fair value loss on warrant liabilities, (12) share of loss of equity-accounted investees, net of tax, and (13) loss from discontinued operation, net of tax. These adjustments are made for items that may not be indicative of our business performance, including non-cash and/or non-recurring items.</w:t>
      </w:r>
    </w:p>
    <w:p>
      <w:pPr>
        <w:spacing w:after="0" w:line="2" w:lineRule="exact"/>
        <w:rPr>
          <w:rFonts w:ascii="Times New Roman" w:cs="Times New Roman" w:eastAsia="Times New Roman" w:hAnsi="Times New Roman"/>
          <w:sz w:val="19"/>
          <w:szCs w:val="19"/>
          <w:color w:val="auto"/>
          <w:vertAlign w:val="superscript"/>
        </w:rPr>
      </w:pPr>
    </w:p>
    <w:p>
      <w:pPr>
        <w:ind w:right="20"/>
        <w:spacing w:after="0" w:line="220"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Represents current assets, including estimated proceeds from the divestment of ACT Genomics in the form of $46.3 million to be settled in cash, cash and cash equivalents totaling $17.2 million, financial assets at fair value through profit or loss of $10.5 million, and trade receivables of $1.8 million, amongst other accounting line items under current assets as of June 30, 2025.</w:t>
      </w:r>
    </w:p>
    <w:p>
      <w:pPr>
        <w:spacing w:after="0" w:line="28" w:lineRule="exact"/>
        <w:rPr>
          <w:sz w:val="20"/>
          <w:szCs w:val="20"/>
          <w:color w:val="auto"/>
        </w:rPr>
      </w:pPr>
    </w:p>
    <w:p>
      <w:pPr>
        <w:ind w:left="100" w:hanging="92"/>
        <w:spacing w:after="0"/>
        <w:tabs>
          <w:tab w:leader="none" w:pos="10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Bitcoin is classified as non-current intangible assets under IFRS Accounting Standards. Bitcoin holdings value is as of September 10, 2025.</w:t>
      </w:r>
    </w:p>
    <w:p>
      <w:pPr>
        <w:sectPr>
          <w:pgSz w:w="11900" w:h="16838" w:orient="portrait"/>
          <w:cols w:equalWidth="0" w:num="1">
            <w:col w:w="11240"/>
          </w:cols>
          <w:pgMar w:left="320" w:top="140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Second Quarter Business Unit Revenue Breakdown:</w:t>
      </w:r>
    </w:p>
    <w:p>
      <w:pPr>
        <w:spacing w:after="0" w:line="10"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IM8 - $9.8 million (Increase of 70% over Q1)</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Europa - $5.7 million</w:t>
      </w: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CircleDNA - $2.2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Half 2025 Financial Highlights</w:t>
      </w:r>
    </w:p>
    <w:p>
      <w:pPr>
        <w:spacing w:after="0" w:line="12"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Revenue of $32.3 million in the first half 2025, an increase of 452.1% as compared to the first half 2024.</w:t>
      </w:r>
    </w:p>
    <w:p>
      <w:pPr>
        <w:spacing w:after="0" w:line="5" w:lineRule="exact"/>
        <w:rPr>
          <w:rFonts w:ascii="Times New Roman" w:cs="Times New Roman" w:eastAsia="Times New Roman" w:hAnsi="Times New Roman"/>
          <w:sz w:val="16"/>
          <w:szCs w:val="16"/>
          <w:b w:val="1"/>
          <w:bCs w:val="1"/>
          <w:color w:val="auto"/>
        </w:rPr>
      </w:pPr>
    </w:p>
    <w:p>
      <w:pPr>
        <w:ind w:left="640" w:hanging="308"/>
        <w:spacing w:after="0" w:line="228" w:lineRule="auto"/>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of $13.2 million in the first half 2025, expanded by 166.4% as compared to the first half 2024.</w:t>
      </w: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loss of $(8.7) million in the first half 2025, an increase of 45.4% as compared to the first half 2024.</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$(19.8) million in the first half 2025, an increase of 30.2% as compared to the first half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 Half Business Unit Revenue Breakdown:</w:t>
      </w:r>
    </w:p>
    <w:p>
      <w:pPr>
        <w:spacing w:after="0" w:line="23"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IM8 - $15.5 million</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Europa - $12.0 million</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CircleDNA - $4.8 million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Updates and Strategic Initiatives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IM8 Strong Business Momentum:</w:t>
      </w:r>
    </w:p>
    <w:p>
      <w:pPr>
        <w:jc w:val="both"/>
        <w:spacing w:after="0" w:line="238" w:lineRule="auto"/>
        <w:rPr>
          <w:sz w:val="20"/>
          <w:szCs w:val="20"/>
          <w:color w:val="auto"/>
        </w:rPr>
      </w:pPr>
      <w:r>
        <w:rPr>
          <w:rFonts w:ascii="Times New Roman" w:cs="Times New Roman" w:eastAsia="Times New Roman" w:hAnsi="Times New Roman"/>
          <w:sz w:val="16"/>
          <w:szCs w:val="16"/>
          <w:color w:val="auto"/>
        </w:rPr>
        <w:t>IM8 Health, a brand 100% wholly owned by Prenetics, has rapidly emerged as one of the fastest-growing supplement brands globally since its launch in December 2024. The brand's high-profile status with David Beckham as its co-founding partner is further bolstered by its multi-year partnership with Aryna Sabalenka, the World No. 1 tennis player and 2025 US Open champion, who serves as a global ambassador and Prenetics shareholder. The brand's marketing prowess was demonstrated during the US Open with an AI-powered Aryna Sabalenka video that went viral on Instagram, generating an extraordinary 233 million views. The campaign also featured prominently on the iconic Times Square billboard throughout the US Open and will continue running through the end of September, showcasing IM8's ability to capture global attention and drive brand awareness at scale.</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IM8 has further strengthened its scientific advisory board with the addition of Dr. Darshan Shah, a leading regenerative medicine physician and longevity expert; Dr. Ara Suppiah, a renowned sports medicine specialist and performance optimization physician; and Simon Hill, a prominent nutritionist and plant-based nutrition advocate. Looking ahead, the company is very excited about its new upcoming products, which will be best-in-class from a science perspective, further strengthening IM8's position as a leader in premium nutrition and longevity solutions.</w:t>
      </w:r>
    </w:p>
    <w:p>
      <w:pPr>
        <w:spacing w:after="0" w:line="2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IM8 has demonstrated exceptional growth, with monthly net revenue surging from $581,000 in December 2024 to $5.9 million in August 2025, representing a compound annual growth rate (CAGR)</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of over 3,100%. This remarkable performance is underscored by strong underlying business fundamentals and a highly efficient customer acquisition strategy. In the first half of 2025, IM8 Health achieved a 80%+ new customer subscription rate and an average order value of $110, reflecting strong customer loyalty and high-value transactions. With a gross margin of 52% and a customer acquisition cost of $104 in the first half of 2025, the brand's unit economics are compelling, further evidenced by an implied LTV/CAC ratio of 4.8x. To date, IM8 has processed more than 300,000 customer orders and delivered more than 8 million servings of its flagship product, IM8 Daily Ultimate Essentials, solidifying its position as a significant player in the crowded health and wellness market.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IM8 Health - Key Performance Indicators (1H 2025 unless otherwise indicated)</w:t>
            </w:r>
          </w:p>
        </w:tc>
        <w:tc>
          <w:tcPr>
            <w:tcW w:w="1660" w:type="dxa"/>
            <w:vAlign w:val="bottom"/>
          </w:tcPr>
          <w:p>
            <w:pPr>
              <w:spacing w:after="0"/>
              <w:rPr>
                <w:sz w:val="18"/>
                <w:szCs w:val="18"/>
                <w:color w:val="auto"/>
              </w:rPr>
            </w:pPr>
          </w:p>
        </w:tc>
      </w:tr>
      <w:tr>
        <w:trPr>
          <w:trHeight w:val="496"/>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Metric</w:t>
            </w:r>
          </w:p>
        </w:tc>
        <w:tc>
          <w:tcPr>
            <w:tcW w:w="1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3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2025 Revenue</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$5.9 million</w:t>
            </w: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CAGR</w:t>
            </w:r>
          </w:p>
        </w:tc>
        <w:tc>
          <w:tcPr>
            <w:tcW w:w="1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3,100%</w:t>
            </w:r>
          </w:p>
        </w:tc>
      </w:tr>
      <w:tr>
        <w:trPr>
          <w:trHeight w:val="23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Customer Subscription Rate</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80%</w:t>
            </w: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Order Value</w:t>
            </w:r>
          </w:p>
        </w:tc>
        <w:tc>
          <w:tcPr>
            <w:tcW w:w="1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$110.00</w:t>
            </w:r>
          </w:p>
        </w:tc>
      </w:tr>
      <w:tr>
        <w:trPr>
          <w:trHeight w:val="23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52%</w:t>
            </w: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Acquisition Cost (CAC)</w:t>
            </w:r>
          </w:p>
        </w:tc>
        <w:tc>
          <w:tcPr>
            <w:tcW w:w="1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$104.00</w:t>
            </w:r>
          </w:p>
        </w:tc>
      </w:tr>
      <w:tr>
        <w:trPr>
          <w:trHeight w:val="23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12-Month Lifetime Value (LTV)</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~$500</w:t>
            </w: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LTV/CAC Ratio</w:t>
            </w:r>
          </w:p>
        </w:tc>
        <w:tc>
          <w:tcPr>
            <w:tcW w:w="1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4.8x</w:t>
            </w:r>
          </w:p>
        </w:tc>
      </w:tr>
      <w:tr>
        <w:trPr>
          <w:trHeight w:val="23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Customer Orders</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148,261</w:t>
            </w: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Customer Orders (up to September 11, 2025)</w:t>
            </w:r>
          </w:p>
        </w:tc>
        <w:tc>
          <w:tcPr>
            <w:tcW w:w="1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300,000+</w:t>
            </w:r>
          </w:p>
        </w:tc>
      </w:tr>
      <w:tr>
        <w:trPr>
          <w:trHeight w:val="23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Servings Served (up to September 11, 2025)</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8 million+</w:t>
            </w:r>
          </w:p>
        </w:tc>
      </w:tr>
    </w:tbl>
    <w:p>
      <w:pPr>
        <w:sectPr>
          <w:pgSz w:w="11900" w:h="16838" w:orient="portrait"/>
          <w:cols w:equalWidth="0" w:num="1">
            <w:col w:w="11240"/>
          </w:cols>
          <w:pgMar w:left="320" w:top="14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i w:val="1"/>
          <w:iCs w:val="1"/>
          <w:color w:val="auto"/>
        </w:rPr>
        <w:t>Strategic Bitcoin Treasury Initiatives:</w:t>
      </w:r>
    </w:p>
    <w:p>
      <w:pPr>
        <w:spacing w:after="0" w:line="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Leveraging our strong cash position and robust business fundamentals, we initiated a disciplined treasury reserve program in the second quarter, starting with an initial $20 million purchase of 187.42 BTC at an average price of $106,712 BTC in June 2025. This was followed by our programmatic daily accumulation of Bitcoin as a primary treasury reserve asset, funded directly from our operating cash beginning on August 1, 2025. As of September 10, 2025, the company holds 228.42 BTC on its balance sheet, acquired at an overall average price of approximately $108,131 per BTC. At the current Bitcoin price of $115,105, this position reflects an unrealized gain of approximately $1.6 million, equating to an annualized yield of roughly 30% since the initiation of our program in June 2025.</w:t>
      </w:r>
    </w:p>
    <w:p>
      <w:pPr>
        <w:spacing w:after="0" w:line="21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Looking ahead, we plan to continue our disciplined approach with daily acquisitions of 1 BTC through the remainder of 2025</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6"/>
          <w:szCs w:val="16"/>
          <w:color w:val="auto"/>
        </w:rPr>
        <w:t>, with expectations to further increase our accumulation rate in 2026 as our cash generation continues to strengthen. Additional purchase will be funded from available cash flows while maintaining prudent operating liquidity. This strategic move reflects our conviction in Bitcoin as a superior store of value and a compelling, non-correlated asset with significant long-term appreciation potential. By systematically converting a portion of our cash flows into Bitcoin, we are not only preserving our capital against inflationary pressures but also positioning Prenetics to capture the asymmetric upside of this emerging asset class. We believe this proactive and forward-thinking treasury management approach will enhance our financial strength and create substantial long-term value for our shareholders.</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To further enhance transparency, we have launched a dedicated Bitcoin Treasury Analytics page, which provides real-time updates on our holdings and performance, available at: https://www.prenetics.com/btc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Outlook</w:t>
      </w:r>
    </w:p>
    <w:p>
      <w:pPr>
        <w:spacing w:after="0" w:line="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Prenetics increases full-year 2025 guidance range of $85 - 100 million in revenue and expects to achieve breakeven by Q1 2026. Our combination of disciplined execution in consumer health, strengthening brand equity at IM8, a flexible capital markets posture, and strong balance sheet positions Prenetics to deliver significant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Breakdown of Full-Year Business Unit Revenue Guidance:</w:t>
      </w:r>
    </w:p>
    <w:p>
      <w:pPr>
        <w:spacing w:after="0" w:line="15"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IM8: $55 - $60 million</w:t>
      </w: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Europa: $20 - $25 million</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CircleDNA: $10 - $15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ACT Genomics Divestment</w:t>
      </w:r>
    </w:p>
    <w:p>
      <w:pPr>
        <w:spacing w:after="0" w:line="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We announced on June 18, 2025 on the divestment of ACT Genomics to Delta Electronics, Inc for a total transaction value of approximately $71.8 million, with a gross proceeds to Prenetics of $46.3 million at settlement. Closing is progressing as planned and is expected in Q4 2025. In line with IFRS 5 </w:t>
      </w:r>
      <w:r>
        <w:rPr>
          <w:rFonts w:ascii="Times New Roman" w:cs="Times New Roman" w:eastAsia="Times New Roman" w:hAnsi="Times New Roman"/>
          <w:sz w:val="16"/>
          <w:szCs w:val="16"/>
          <w:i w:val="1"/>
          <w:iCs w:val="1"/>
          <w:color w:val="auto"/>
        </w:rPr>
        <w:t>Non-current Assets Held for Sale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Discontinued Operations</w:t>
      </w:r>
      <w:r>
        <w:rPr>
          <w:rFonts w:ascii="Times New Roman" w:cs="Times New Roman" w:eastAsia="Times New Roman" w:hAnsi="Times New Roman"/>
          <w:sz w:val="16"/>
          <w:szCs w:val="16"/>
          <w:color w:val="auto"/>
        </w:rPr>
        <w:t>, ACT Genomics has been classified as a disposal group held for sale and a discontinued operation. Accordingly, its results are presented separately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continuing operations, and prior-period comparatives have been re-presented for consistency.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Prenetics</w:t>
      </w:r>
    </w:p>
    <w:p>
      <w:pPr>
        <w:spacing w:after="0" w:line="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Prenetics (NASDAQ:PRE), a leading health sciences company, is dedicated to advancing consumer health. Our consumer initiative is led by IM8, one of the World’s fastest growing supplement brands, Europa, one of the largest sports distribution companies in the USA, and CircleDNA, a leading direct-to-consumer DNA test. As the first consumer healthcare company to establish a Bitcoin treasury with its initial $20 million Bitcoin purchase and board-approved comprehensive Bitcoin strategy, Prenetics is pioneering the intersection of healthcare innovation and digital asset adoption. To learn more please visit www.prenetics.com and www.IM8health.com.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IM8</w:t>
      </w:r>
    </w:p>
    <w:p>
      <w:pPr>
        <w:spacing w:after="0" w:line="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www.IM8health.com.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investors@prenetics.com</w:t>
      </w:r>
    </w:p>
    <w:p>
      <w:pPr>
        <w:spacing w:after="0"/>
        <w:rPr>
          <w:sz w:val="20"/>
          <w:szCs w:val="20"/>
          <w:color w:val="auto"/>
        </w:rPr>
      </w:pPr>
      <w:r>
        <w:rPr>
          <w:rFonts w:ascii="Times New Roman" w:cs="Times New Roman" w:eastAsia="Times New Roman" w:hAnsi="Times New Roman"/>
          <w:sz w:val="16"/>
          <w:szCs w:val="16"/>
          <w:color w:val="0000FF"/>
        </w:rPr>
        <w:t>PRE@mzgroup.us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Angela Cheung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 / Corporate Finance</w:t>
      </w:r>
    </w:p>
    <w:p>
      <w:pPr>
        <w:spacing w:after="0"/>
        <w:rPr>
          <w:sz w:val="20"/>
          <w:szCs w:val="20"/>
          <w:color w:val="auto"/>
        </w:rPr>
      </w:pPr>
      <w:r>
        <w:rPr>
          <w:rFonts w:ascii="Times New Roman" w:cs="Times New Roman" w:eastAsia="Times New Roman" w:hAnsi="Times New Roman"/>
          <w:sz w:val="16"/>
          <w:szCs w:val="16"/>
          <w:color w:val="0000FF"/>
        </w:rPr>
        <w:t>angela.hm.cheung@prenetics.com</w:t>
      </w:r>
    </w:p>
    <w:p>
      <w:pPr>
        <w:sectPr>
          <w:pgSz w:w="11900" w:h="16838" w:orient="portrait"/>
          <w:cols w:equalWidth="0" w:num="1">
            <w:col w:w="11240"/>
          </w:cols>
          <w:pgMar w:left="320" w:top="14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(including revenue ranges and breakdown timing) reflects management’s current estimates and assumptions as of the date of this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therefore they should not be relied upon as being necessarily indicative of future results. A number of factors could cause actual results to differ materially from those contained in any forward-looking statement, including but not limited to: the Company’s ability to further develop and grow its business, including new products and services; its ability to execute on its new business strategy in genomics, precision oncology, and specifically, early detection for cancer; the results of case control studies and/or clinical trials; and its ability to identify and execute on M&amp;A opportunities, especially in precision oncology.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All information provided in this press release is as of the date of this press release, and the Company does not undertake any duty to update such information, except as required under applicable law.</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Prior year/ period figures have been re-presented in accordance with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as result of the ACT Genomics divestment, the Group has classified ACT Genomics as held for sale and discontinued operations in June 2025.</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Unaudited Non-IFRS Financial Measures has been provided in the financial statements tables included at the end of this press release. An explanation of these measures is also included below under the heading “Unaudited Non-IFRS Financial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Non-IFRS Financial Measures</w:t>
      </w:r>
    </w:p>
    <w:p>
      <w:pPr>
        <w:spacing w:after="0" w:line="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To supplement Prenetics’ consolidated financial statements prepared in accordance with International Financial Reporting Standards (“IFRS”), the Company is providing non-IFRS measure, adjusted EBITDA loss from continuing operations. This non-IFRS financial measure is not based on any standardized methodology prescribed by IFRS and are not necessarily comparable to similarly-titled measures presented by other companies. Management believes this non-IFRS financial measure is useful to investors in evaluating the Company’s ongoing operating results and trends.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Management is excluding from some or all of its non-IFRS results (1) depreciation and amortization, (2) interest income, (3) other finance costs, (4) income tax (credit)/expense, (5) amortization of deferred expenses, (6) equity-settled share-based payment expenses, (7) acquisition and transaction-related costs, (8) strategic realignment and discontinued products impact, (9) exchange gain or loss, net, (10) fair value loss on financial assets at fair value through profit or loss, (11) fair value loss on warrant liabilities, (12) share of loss of equity-accounted investees, net of tax, and (13) loss from discontinued operation, net of tax — items that may not be indicative of our business, results of operations, or outlook, including but not limited to non-cash and/ 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 for the period under IFRS and adjusted EBITDA loss (Non-IFRS)”, “Revenue by business unit from continuing operations (Non-IFRS)” and “Reconciliation of current assets under IFRS and adjusted current assets (Non-IFRS)” set forth at the end of this document.</w:t>
      </w:r>
    </w:p>
    <w:p>
      <w:pPr>
        <w:sectPr>
          <w:pgSz w:w="11900" w:h="16838" w:orient="portrait"/>
          <w:cols w:equalWidth="0" w:num="1">
            <w:col w:w="11240"/>
          </w:cols>
          <w:pgMar w:left="320" w:top="140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0" w:type="dxa"/>
            <w:vAlign w:val="bottom"/>
          </w:tcPr>
          <w:p>
            <w:pPr>
              <w:spacing w:after="0"/>
              <w:rPr>
                <w:sz w:val="1"/>
                <w:szCs w:val="1"/>
                <w:color w:val="auto"/>
              </w:rPr>
            </w:pPr>
          </w:p>
        </w:tc>
      </w:tr>
      <w:tr>
        <w:trPr>
          <w:trHeight w:val="211"/>
        </w:trPr>
        <w:tc>
          <w:tcPr>
            <w:tcW w:w="5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Cryptocurrency assets</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 in equity-accounted investees</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67,396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6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80,422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81,412</w:t>
            </w:r>
          </w:p>
        </w:tc>
        <w:tc>
          <w:tcPr>
            <w:tcW w:w="0" w:type="dxa"/>
            <w:vAlign w:val="bottom"/>
          </w:tcPr>
          <w:p>
            <w:pPr>
              <w:spacing w:after="0"/>
              <w:rPr>
                <w:sz w:val="1"/>
                <w:szCs w:val="1"/>
                <w:color w:val="auto"/>
              </w:rPr>
            </w:pPr>
          </w:p>
        </w:tc>
      </w:tr>
      <w:tr>
        <w:trPr>
          <w:trHeight w:val="20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expenses</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prepayments and other receivables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 due from a disposal group</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due from a related company</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10,562</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45,406</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44,037</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69,969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75,746</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classified as held for sale</w:t>
            </w:r>
          </w:p>
        </w:tc>
        <w:tc>
          <w:tcPr>
            <w:tcW w:w="6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59,044</w:t>
            </w:r>
          </w:p>
        </w:tc>
        <w:tc>
          <w:tcPr>
            <w:tcW w:w="0" w:type="dxa"/>
            <w:vAlign w:val="bottom"/>
          </w:tcPr>
          <w:p>
            <w:pPr>
              <w:spacing w:after="0"/>
              <w:rPr>
                <w:sz w:val="1"/>
                <w:szCs w:val="1"/>
                <w:color w:val="auto"/>
              </w:rPr>
            </w:pP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199,106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206,197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216,202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payable</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17,285</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associated with assets classified as held for sale</w:t>
            </w:r>
          </w:p>
        </w:tc>
        <w:tc>
          <w:tcPr>
            <w:tcW w:w="6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25,370</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44,845</w:t>
            </w: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Reserves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137,754</w:t>
            </w: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Amounts recognized in other comprehensive income and accumulated in equity relating to</w:t>
            </w:r>
          </w:p>
        </w:tc>
        <w:tc>
          <w:tcPr>
            <w:tcW w:w="6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31,082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31,936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33,673</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assets classified as held for sale</w:t>
            </w: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attributable to equity shareholders of the Company</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150,982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171,446</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6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150,892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161,098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171,357</w:t>
            </w:r>
          </w:p>
        </w:tc>
        <w:tc>
          <w:tcPr>
            <w:tcW w:w="0" w:type="dxa"/>
            <w:vAlign w:val="bottom"/>
          </w:tcPr>
          <w:p>
            <w:pPr>
              <w:spacing w:after="0"/>
              <w:rPr>
                <w:sz w:val="1"/>
                <w:szCs w:val="1"/>
                <w:color w:val="auto"/>
              </w:rPr>
            </w:pP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199,106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206,197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216,202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1" w:lineRule="exact"/>
        <w:rPr>
          <w:sz w:val="20"/>
          <w:szCs w:val="20"/>
          <w:color w:val="auto"/>
        </w:rPr>
      </w:pPr>
    </w:p>
    <w:p>
      <w:pPr>
        <w:ind w:right="458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statements of profit or loss and other comprehensive income </w:t>
      </w:r>
      <w:r>
        <w:rPr>
          <w:rFonts w:ascii="Times New Roman" w:cs="Times New Roman" w:eastAsia="Times New Roman" w:hAnsi="Times New Roman"/>
          <w:sz w:val="18"/>
          <w:szCs w:val="18"/>
          <w:i w:val="1"/>
          <w:iCs w:val="1"/>
          <w:color w:val="auto"/>
        </w:rPr>
        <w:t>(All amounts in thousands of U.S. dollars (“$”) unless otherwise indicated)</w:t>
      </w: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0" w:type="dxa"/>
            <w:vAlign w:val="bottom"/>
            <w:tcBorders>
              <w:bottom w:val="single" w:sz="8" w:color="auto"/>
            </w:tcBorders>
          </w:tcPr>
          <w:p>
            <w:pPr>
              <w:spacing w:after="0"/>
              <w:rPr>
                <w:sz w:val="18"/>
                <w:szCs w:val="18"/>
                <w:color w:val="auto"/>
              </w:rPr>
            </w:pPr>
          </w:p>
        </w:tc>
      </w:tr>
      <w:tr>
        <w:trPr>
          <w:trHeight w:val="208"/>
        </w:trPr>
        <w:tc>
          <w:tcPr>
            <w:tcW w:w="7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7"/>
        </w:trPr>
        <w:tc>
          <w:tcPr>
            <w:tcW w:w="7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7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32,276</w:t>
            </w:r>
          </w:p>
        </w:tc>
        <w:tc>
          <w:tcPr>
            <w:tcW w:w="100" w:type="dxa"/>
            <w:vAlign w:val="bottom"/>
          </w:tcPr>
          <w:p>
            <w:pPr>
              <w:spacing w:after="0"/>
              <w:rPr>
                <w:sz w:val="18"/>
                <w:szCs w:val="18"/>
                <w:color w:val="auto"/>
              </w:rPr>
            </w:pPr>
          </w:p>
        </w:tc>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5,846</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costs</w:t>
            </w: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(19,099)</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5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and other net gain</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r>
      <w:tr>
        <w:trPr>
          <w:trHeight w:val="216"/>
        </w:trPr>
        <w:tc>
          <w:tcPr>
            <w:tcW w:w="71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Selling and distribution expenses</w:t>
            </w:r>
            <w:r>
              <w:rPr>
                <w:rFonts w:ascii="Times New Roman" w:cs="Times New Roman" w:eastAsia="Times New Roman" w:hAnsi="Times New Roman"/>
                <w:sz w:val="21"/>
                <w:szCs w:val="21"/>
                <w:b w:val="1"/>
                <w:bCs w:val="1"/>
                <w:color w:val="auto"/>
                <w:vertAlign w:val="superscript"/>
              </w:rPr>
              <w:t>6</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216"/>
        </w:trPr>
        <w:tc>
          <w:tcPr>
            <w:tcW w:w="7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1"/>
                <w:szCs w:val="21"/>
                <w:b w:val="1"/>
                <w:bCs w:val="1"/>
                <w:color w:val="auto"/>
                <w:vertAlign w:val="superscript"/>
              </w:rPr>
              <w:t>6</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w:t>
            </w:r>
          </w:p>
        </w:tc>
      </w:tr>
      <w:tr>
        <w:trPr>
          <w:trHeight w:val="216"/>
        </w:trPr>
        <w:tc>
          <w:tcPr>
            <w:tcW w:w="71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Administrative and other operating expenses</w:t>
            </w:r>
            <w:r>
              <w:rPr>
                <w:rFonts w:ascii="Times New Roman" w:cs="Times New Roman" w:eastAsia="Times New Roman" w:hAnsi="Times New Roman"/>
                <w:sz w:val="21"/>
                <w:szCs w:val="21"/>
                <w:b w:val="1"/>
                <w:bCs w:val="1"/>
                <w:color w:val="auto"/>
                <w:vertAlign w:val="superscript"/>
              </w:rPr>
              <w:t>6</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(18,803)</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(12,969)</w:t>
            </w:r>
          </w:p>
        </w:tc>
      </w:tr>
      <w:tr>
        <w:trPr>
          <w:trHeight w:val="20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(14,472)</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loss on warrant liabilities</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of equity-accounted investees</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finance costs</w:t>
            </w: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taxation</w:t>
            </w:r>
          </w:p>
        </w:tc>
        <w:tc>
          <w:tcPr>
            <w:tcW w:w="5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(15,390)</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credit</w:t>
            </w: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5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(15,182)</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Discontinued operation</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71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Loss from discontinued operation, net of tax</w:t>
            </w:r>
            <w:r>
              <w:rPr>
                <w:rFonts w:ascii="Times New Roman" w:cs="Times New Roman" w:eastAsia="Times New Roman" w:hAnsi="Times New Roman"/>
                <w:sz w:val="21"/>
                <w:szCs w:val="21"/>
                <w:b w:val="1"/>
                <w:bCs w:val="1"/>
                <w:color w:val="auto"/>
                <w:vertAlign w:val="superscript"/>
              </w:rPr>
              <w:t>7</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(20,197)</w:t>
            </w:r>
          </w:p>
        </w:tc>
      </w:tr>
      <w:tr>
        <w:trPr>
          <w:trHeight w:val="214"/>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(expense)/income for the period</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Items that will not be reclassified subsequently to profit or loss:</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of other comprehensive income of equity-accounted investees</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revaluation of intangible assets</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Item that may be reclassified subsequently to profit or loss:</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Exchange difference on translation of foreign operations</w:t>
            </w: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expense for the period</w:t>
            </w: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(23,355)</w:t>
            </w:r>
          </w:p>
        </w:tc>
        <w:tc>
          <w:tcPr>
            <w:tcW w:w="100" w:type="dxa"/>
            <w:vAlign w:val="bottom"/>
          </w:tcPr>
          <w:p>
            <w:pPr>
              <w:spacing w:after="0"/>
              <w:rPr>
                <w:sz w:val="17"/>
                <w:szCs w:val="17"/>
                <w:color w:val="auto"/>
              </w:rPr>
            </w:pPr>
          </w:p>
        </w:tc>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(20,968)</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attributable to:</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(22,800)</w:t>
            </w:r>
          </w:p>
        </w:tc>
        <w:tc>
          <w:tcPr>
            <w:tcW w:w="100" w:type="dxa"/>
            <w:vAlign w:val="bottom"/>
          </w:tcPr>
          <w:p>
            <w:pPr>
              <w:spacing w:after="0"/>
              <w:rPr>
                <w:sz w:val="18"/>
                <w:szCs w:val="18"/>
                <w:color w:val="auto"/>
              </w:rPr>
            </w:pPr>
          </w:p>
        </w:tc>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(19,290)</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r>
      <w:tr>
        <w:trPr>
          <w:trHeight w:val="209"/>
        </w:trPr>
        <w:tc>
          <w:tcPr>
            <w:tcW w:w="7160" w:type="dxa"/>
            <w:vAlign w:val="bottom"/>
          </w:tcPr>
          <w:p>
            <w:pPr>
              <w:spacing w:after="0"/>
              <w:rPr>
                <w:sz w:val="18"/>
                <w:szCs w:val="18"/>
                <w:color w:val="auto"/>
              </w:rPr>
            </w:pPr>
          </w:p>
        </w:tc>
        <w:tc>
          <w:tcPr>
            <w:tcW w:w="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(23,743)</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(20,197)</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expense attributable to:</w:t>
            </w: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(22,423)</w:t>
            </w:r>
          </w:p>
        </w:tc>
        <w:tc>
          <w:tcPr>
            <w:tcW w:w="100" w:type="dxa"/>
            <w:vAlign w:val="bottom"/>
          </w:tcPr>
          <w:p>
            <w:pPr>
              <w:spacing w:after="0"/>
              <w:rPr>
                <w:sz w:val="18"/>
                <w:szCs w:val="18"/>
                <w:color w:val="auto"/>
              </w:rPr>
            </w:pPr>
          </w:p>
        </w:tc>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(19,926)</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r>
      <w:tr>
        <w:trPr>
          <w:trHeight w:val="210"/>
        </w:trPr>
        <w:tc>
          <w:tcPr>
            <w:tcW w:w="7160" w:type="dxa"/>
            <w:vAlign w:val="bottom"/>
          </w:tcPr>
          <w:p>
            <w:pPr>
              <w:spacing w:after="0"/>
              <w:rPr>
                <w:sz w:val="18"/>
                <w:szCs w:val="18"/>
                <w:color w:val="auto"/>
              </w:rPr>
            </w:pPr>
          </w:p>
        </w:tc>
        <w:tc>
          <w:tcPr>
            <w:tcW w:w="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(23,355)</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(20,968)</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4"/>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per share - Continuing operations:</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13,126,271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12,219,121</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13,126,271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12,219,121</w:t>
            </w:r>
          </w:p>
        </w:tc>
      </w:tr>
    </w:tbl>
    <w:p>
      <w:pPr>
        <w:sectPr>
          <w:pgSz w:w="11900" w:h="16838" w:orient="portrait"/>
          <w:cols w:equalWidth="0" w:num="1">
            <w:col w:w="11060"/>
          </w:cols>
          <w:pgMar w:left="320" w:top="1400"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1" w:lineRule="exact"/>
        <w:rPr>
          <w:sz w:val="20"/>
          <w:szCs w:val="20"/>
          <w:color w:val="auto"/>
        </w:rPr>
      </w:pPr>
    </w:p>
    <w:p>
      <w:pPr>
        <w:ind w:right="46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statements of profit or loss and other comprehensive income </w:t>
      </w:r>
      <w:r>
        <w:rPr>
          <w:rFonts w:ascii="Times New Roman" w:cs="Times New Roman" w:eastAsia="Times New Roman" w:hAnsi="Times New Roman"/>
          <w:sz w:val="18"/>
          <w:szCs w:val="18"/>
          <w:i w:val="1"/>
          <w:iCs w:val="1"/>
          <w:color w:val="auto"/>
        </w:rPr>
        <w:t>(All amounts in thousands of U.S. dollars (“$”) unless otherwise indicated)</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54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2"/>
        </w:trPr>
        <w:tc>
          <w:tcPr>
            <w:tcW w:w="5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4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r>
      <w:tr>
        <w:trPr>
          <w:trHeight w:val="206"/>
        </w:trPr>
        <w:tc>
          <w:tcPr>
            <w:tcW w:w="54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r>
      <w:tr>
        <w:trPr>
          <w:trHeight w:val="200"/>
        </w:trPr>
        <w:tc>
          <w:tcPr>
            <w:tcW w:w="5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(Restated)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(Restated)</w:t>
            </w: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5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17,680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14,596</w:t>
            </w:r>
          </w:p>
        </w:tc>
        <w:tc>
          <w:tcPr>
            <w:tcW w:w="100" w:type="dxa"/>
            <w:vAlign w:val="bottom"/>
          </w:tcPr>
          <w:p>
            <w:pPr>
              <w:spacing w:after="0"/>
              <w:rPr>
                <w:sz w:val="17"/>
                <w:szCs w:val="17"/>
                <w:color w:val="auto"/>
              </w:rPr>
            </w:pPr>
          </w:p>
        </w:tc>
        <w:tc>
          <w:tcPr>
            <w:tcW w:w="5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2,544</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Direct costs</w:t>
            </w:r>
          </w:p>
        </w:tc>
        <w:tc>
          <w:tcPr>
            <w:tcW w:w="5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(8,708)</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w:t>
            </w:r>
          </w:p>
        </w:tc>
      </w:tr>
      <w:tr>
        <w:trPr>
          <w:trHeight w:val="194"/>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5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2,186</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and other net gain</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448</w:t>
            </w:r>
          </w:p>
        </w:tc>
      </w:tr>
      <w:tr>
        <w:trPr>
          <w:trHeight w:val="203"/>
        </w:trPr>
        <w:tc>
          <w:tcPr>
            <w:tcW w:w="540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Selling and distribution expenses</w:t>
            </w:r>
            <w:r>
              <w:rPr>
                <w:rFonts w:ascii="Times New Roman" w:cs="Times New Roman" w:eastAsia="Times New Roman" w:hAnsi="Times New Roman"/>
                <w:sz w:val="19"/>
                <w:szCs w:val="19"/>
                <w:b w:val="1"/>
                <w:bCs w:val="1"/>
                <w:color w:val="auto"/>
                <w:vertAlign w:val="superscript"/>
              </w:rPr>
              <w:t>6</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(1,662)</w:t>
            </w:r>
          </w:p>
        </w:tc>
      </w:tr>
      <w:tr>
        <w:trPr>
          <w:trHeight w:val="203"/>
        </w:trPr>
        <w:tc>
          <w:tcPr>
            <w:tcW w:w="54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Research and development expenses</w:t>
            </w:r>
            <w:r>
              <w:rPr>
                <w:rFonts w:ascii="Times New Roman" w:cs="Times New Roman" w:eastAsia="Times New Roman" w:hAnsi="Times New Roman"/>
                <w:sz w:val="19"/>
                <w:szCs w:val="19"/>
                <w:b w:val="1"/>
                <w:bCs w:val="1"/>
                <w:color w:val="auto"/>
                <w:vertAlign w:val="superscript"/>
              </w:rPr>
              <w:t>6</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(2,498)</w:t>
            </w:r>
          </w:p>
        </w:tc>
      </w:tr>
      <w:tr>
        <w:trPr>
          <w:trHeight w:val="203"/>
        </w:trPr>
        <w:tc>
          <w:tcPr>
            <w:tcW w:w="540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5"/>
                <w:szCs w:val="15"/>
                <w:color w:val="auto"/>
              </w:rPr>
              <w:t>Administrative and other operating expenses</w:t>
            </w:r>
            <w:r>
              <w:rPr>
                <w:rFonts w:ascii="Times New Roman" w:cs="Times New Roman" w:eastAsia="Times New Roman" w:hAnsi="Times New Roman"/>
                <w:sz w:val="19"/>
                <w:szCs w:val="19"/>
                <w:b w:val="1"/>
                <w:bCs w:val="1"/>
                <w:color w:val="auto"/>
                <w:vertAlign w:val="superscript"/>
              </w:rPr>
              <w:t>6</w:t>
            </w: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(8,314)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(6,676)</w:t>
            </w:r>
          </w:p>
        </w:tc>
      </w:tr>
      <w:tr>
        <w:trPr>
          <w:trHeight w:val="19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(8,362)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(8,202)</w:t>
            </w: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Fair value loss on financial assets at fair value through profit or loss</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loss on warrant liabilities</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 of loss of equity-accounted investees</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finance costs</w:t>
            </w:r>
          </w:p>
        </w:tc>
        <w:tc>
          <w:tcPr>
            <w:tcW w:w="5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94"/>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before taxation</w:t>
            </w:r>
          </w:p>
        </w:tc>
        <w:tc>
          <w:tcPr>
            <w:tcW w:w="5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(8,903)</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credit/(expense)</w:t>
            </w:r>
          </w:p>
        </w:tc>
        <w:tc>
          <w:tcPr>
            <w:tcW w:w="5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w:t>
            </w:r>
          </w:p>
        </w:tc>
      </w:tr>
      <w:tr>
        <w:trPr>
          <w:trHeight w:val="194"/>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5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(8,843)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(8,898)</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Discontinued operation</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540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5"/>
                <w:szCs w:val="15"/>
                <w:color w:val="auto"/>
              </w:rPr>
              <w:t>Loss from discontinued operation, net of tax</w:t>
            </w:r>
            <w:r>
              <w:rPr>
                <w:rFonts w:ascii="Times New Roman" w:cs="Times New Roman" w:eastAsia="Times New Roman" w:hAnsi="Times New Roman"/>
                <w:sz w:val="19"/>
                <w:szCs w:val="19"/>
                <w:b w:val="1"/>
                <w:bCs w:val="1"/>
                <w:color w:val="auto"/>
                <w:vertAlign w:val="superscript"/>
              </w:rPr>
              <w:t>7</w:t>
            </w: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(2,248)</w:t>
            </w:r>
          </w:p>
        </w:tc>
      </w:tr>
      <w:tr>
        <w:trPr>
          <w:trHeight w:val="19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Loss for the period</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(11,146)</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comprehensive (expense)/income for the period</w:t>
            </w: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Items that will not be reclassified subsequently to profit or loss:</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0"/>
        </w:trPr>
        <w:tc>
          <w:tcPr>
            <w:tcW w:w="5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Share of other comprehensive income of equity-accounted investees</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revaluation of intangible assets</w:t>
            </w: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Item that may be reclassified subsequently to profit or loss:</w:t>
            </w: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Exchange difference on translation of foreign operations</w:t>
            </w:r>
          </w:p>
        </w:tc>
        <w:tc>
          <w:tcPr>
            <w:tcW w:w="5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r>
      <w:tr>
        <w:trPr>
          <w:trHeight w:val="198"/>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expense for the period</w:t>
            </w:r>
          </w:p>
        </w:tc>
        <w:tc>
          <w:tcPr>
            <w:tcW w:w="5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(12,406)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(10,949)</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(11,486)</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0"/>
        </w:trPr>
        <w:tc>
          <w:tcPr>
            <w:tcW w:w="54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Loss attributable to:</w:t>
            </w:r>
          </w:p>
        </w:tc>
        <w:tc>
          <w:tcPr>
            <w:tcW w:w="5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shareholders of Prenetics</w:t>
            </w:r>
          </w:p>
        </w:tc>
        <w:tc>
          <w:tcPr>
            <w:tcW w:w="5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(10,390)</w:t>
            </w:r>
          </w:p>
        </w:tc>
        <w:tc>
          <w:tcPr>
            <w:tcW w:w="100" w:type="dxa"/>
            <w:vAlign w:val="bottom"/>
          </w:tcPr>
          <w:p>
            <w:pPr>
              <w:spacing w:after="0"/>
              <w:rPr>
                <w:sz w:val="17"/>
                <w:szCs w:val="17"/>
                <w:color w:val="auto"/>
              </w:rPr>
            </w:pPr>
          </w:p>
        </w:tc>
        <w:tc>
          <w:tcPr>
            <w:tcW w:w="5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(10,722)</w:t>
            </w: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5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w:t>
            </w:r>
          </w:p>
        </w:tc>
      </w:tr>
      <w:tr>
        <w:trPr>
          <w:trHeight w:val="196"/>
        </w:trPr>
        <w:tc>
          <w:tcPr>
            <w:tcW w:w="5400" w:type="dxa"/>
            <w:vAlign w:val="bottom"/>
          </w:tcPr>
          <w:p>
            <w:pPr>
              <w:spacing w:after="0"/>
              <w:rPr>
                <w:sz w:val="17"/>
                <w:szCs w:val="17"/>
                <w:color w:val="auto"/>
              </w:rPr>
            </w:pPr>
          </w:p>
        </w:tc>
        <w:tc>
          <w:tcPr>
            <w:tcW w:w="5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(12,727)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(11,016)</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(11,146)</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expense attributable to:</w:t>
            </w:r>
          </w:p>
        </w:tc>
        <w:tc>
          <w:tcPr>
            <w:tcW w:w="5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shareholders of Prenetics</w:t>
            </w:r>
          </w:p>
        </w:tc>
        <w:tc>
          <w:tcPr>
            <w:tcW w:w="5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(12,180)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(10,243)</w:t>
            </w:r>
          </w:p>
        </w:tc>
        <w:tc>
          <w:tcPr>
            <w:tcW w:w="100" w:type="dxa"/>
            <w:vAlign w:val="bottom"/>
          </w:tcPr>
          <w:p>
            <w:pPr>
              <w:spacing w:after="0"/>
              <w:rPr>
                <w:sz w:val="17"/>
                <w:szCs w:val="17"/>
                <w:color w:val="auto"/>
              </w:rPr>
            </w:pPr>
          </w:p>
        </w:tc>
        <w:tc>
          <w:tcPr>
            <w:tcW w:w="5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(10,925)</w:t>
            </w: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5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r>
      <w:tr>
        <w:trPr>
          <w:trHeight w:val="196"/>
        </w:trPr>
        <w:tc>
          <w:tcPr>
            <w:tcW w:w="5400" w:type="dxa"/>
            <w:vAlign w:val="bottom"/>
          </w:tcPr>
          <w:p>
            <w:pPr>
              <w:spacing w:after="0"/>
              <w:rPr>
                <w:sz w:val="17"/>
                <w:szCs w:val="17"/>
                <w:color w:val="auto"/>
              </w:rPr>
            </w:pPr>
          </w:p>
        </w:tc>
        <w:tc>
          <w:tcPr>
            <w:tcW w:w="5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(12,406)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(10,949)</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(11,486)</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Loss per share:</w:t>
            </w:r>
          </w:p>
        </w:tc>
        <w:tc>
          <w:tcPr>
            <w:tcW w:w="5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5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(0.80)</w:t>
            </w:r>
          </w:p>
        </w:tc>
        <w:tc>
          <w:tcPr>
            <w:tcW w:w="100" w:type="dxa"/>
            <w:vAlign w:val="bottom"/>
          </w:tcPr>
          <w:p>
            <w:pPr>
              <w:spacing w:after="0"/>
              <w:rPr>
                <w:sz w:val="17"/>
                <w:szCs w:val="17"/>
                <w:color w:val="auto"/>
              </w:rPr>
            </w:pPr>
          </w:p>
        </w:tc>
        <w:tc>
          <w:tcPr>
            <w:tcW w:w="58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(0.88)</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(0.88)</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Loss per share - Continuing operations:</w:t>
            </w: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(0.73)</w:t>
            </w: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(0.73)</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13,247,315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13,003,881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12,222,337</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13,247,315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13,003,881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12,222,337</w:t>
            </w:r>
          </w:p>
        </w:tc>
      </w:tr>
    </w:tbl>
    <w:p>
      <w:pPr>
        <w:sectPr>
          <w:pgSz w:w="11900" w:h="16838" w:orient="portrait"/>
          <w:cols w:equalWidth="0" w:num="1">
            <w:col w:w="11140"/>
          </w:cols>
          <w:pgMar w:left="320" w:top="140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for the period under IFRS and adjusted EBITDA (Non-IFRS)</w:t>
      </w:r>
    </w:p>
    <w:p>
      <w:pPr>
        <w:spacing w:after="0" w:line="286" w:lineRule="exact"/>
        <w:rPr>
          <w:sz w:val="20"/>
          <w:szCs w:val="20"/>
          <w:color w:val="auto"/>
        </w:rPr>
      </w:pPr>
    </w:p>
    <w:tbl>
      <w:tblPr>
        <w:tblLayout w:type="fixed"/>
        <w:tblInd w:w="116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60" w:type="dxa"/>
            <w:vAlign w:val="bottom"/>
            <w:tcBorders>
              <w:bottom w:val="single" w:sz="8" w:color="auto"/>
            </w:tcBorders>
          </w:tcPr>
          <w:p>
            <w:pPr>
              <w:spacing w:after="0"/>
              <w:rPr>
                <w:sz w:val="18"/>
                <w:szCs w:val="18"/>
                <w:color w:val="auto"/>
              </w:rPr>
            </w:pPr>
          </w:p>
        </w:tc>
      </w:tr>
      <w:tr>
        <w:trPr>
          <w:trHeight w:val="208"/>
        </w:trPr>
        <w:tc>
          <w:tcPr>
            <w:tcW w:w="5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7"/>
        </w:trPr>
        <w:tc>
          <w:tcPr>
            <w:tcW w:w="5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5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 under IFRS</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(20,197)</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finance costs</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credit</w:t>
            </w:r>
          </w:p>
        </w:tc>
        <w:tc>
          <w:tcPr>
            <w:tcW w:w="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 under IFRS</w:t>
            </w: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(23,098)</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(20,122)</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Equity-settled share-based payment expenses</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and transaction-related costs</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gain or loss, net</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loss on warrant liabilities</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of loss of equity-accounted investees, net of tax</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 net of tax</w:t>
            </w: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(Non-IFRS)</w:t>
            </w: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(5,955)</w:t>
            </w:r>
          </w:p>
        </w:tc>
      </w:tr>
      <w:tr>
        <w:trPr>
          <w:trHeight w:val="20"/>
        </w:trPr>
        <w:tc>
          <w:tcPr>
            <w:tcW w:w="5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8"/>
        </w:trPr>
        <w:tc>
          <w:tcPr>
            <w:tcW w:w="5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7"/>
        </w:trPr>
        <w:tc>
          <w:tcPr>
            <w:tcW w:w="5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5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 under IFRS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finance costs</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(credit)/expense</w:t>
            </w: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 under IFRS</w:t>
            </w:r>
          </w:p>
        </w:tc>
        <w:tc>
          <w:tcPr>
            <w:tcW w:w="6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(11,141)</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Equity-settled share-based payment expenses</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and transaction-related costs</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gain or loss, net</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loss on warrant liabilities</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of loss of equity-accounted investees, net of tax</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 net of tax</w:t>
            </w: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(Non-IFRS)</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(3,789)</w:t>
            </w:r>
          </w:p>
        </w:tc>
      </w:tr>
      <w:tr>
        <w:trPr>
          <w:trHeight w:val="21"/>
        </w:trPr>
        <w:tc>
          <w:tcPr>
            <w:tcW w:w="5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20"/>
          </w:cols>
          <w:pgMar w:left="320" w:top="1400" w:right="7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business unit from continuing operations (Non-IFRS)</w:t>
      </w:r>
    </w:p>
    <w:p>
      <w:pPr>
        <w:spacing w:after="0" w:line="43"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60" w:type="dxa"/>
            <w:vAlign w:val="bottom"/>
            <w:tcBorders>
              <w:bottom w:val="single" w:sz="8" w:color="auto"/>
            </w:tcBorders>
          </w:tcPr>
          <w:p>
            <w:pPr>
              <w:spacing w:after="0"/>
              <w:rPr>
                <w:sz w:val="18"/>
                <w:szCs w:val="18"/>
                <w:color w:val="auto"/>
              </w:rPr>
            </w:pPr>
          </w:p>
        </w:tc>
      </w:tr>
      <w:tr>
        <w:trPr>
          <w:trHeight w:val="208"/>
        </w:trPr>
        <w:tc>
          <w:tcPr>
            <w:tcW w:w="4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7"/>
        </w:trPr>
        <w:tc>
          <w:tcPr>
            <w:tcW w:w="47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4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CircleDNA</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10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5,846</w:t>
            </w:r>
          </w:p>
        </w:tc>
      </w:tr>
      <w:tr>
        <w:trPr>
          <w:trHeight w:val="21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IM8</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Europa</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12,038</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47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32,276</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8"/>
        </w:trPr>
        <w:tc>
          <w:tcPr>
            <w:tcW w:w="4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7"/>
        </w:trPr>
        <w:tc>
          <w:tcPr>
            <w:tcW w:w="47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4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CircleDNA</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8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IM8</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Europa</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6,322</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47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14,596</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current assets under IFRS and adjusted current assets (Non-IFRS)</w:t>
      </w:r>
    </w:p>
    <w:p>
      <w:pPr>
        <w:spacing w:after="0" w:line="281" w:lineRule="exact"/>
        <w:rPr>
          <w:sz w:val="20"/>
          <w:szCs w:val="20"/>
          <w:color w:val="auto"/>
        </w:rPr>
      </w:pPr>
    </w:p>
    <w:tbl>
      <w:tblPr>
        <w:tblLayout w:type="fixed"/>
        <w:tblInd w:w="140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47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4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 under IFRS</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w w:val="99"/>
              </w:rPr>
              <w:t>44,037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75,747</w:t>
            </w:r>
          </w:p>
        </w:tc>
      </w:tr>
      <w:tr>
        <w:trPr>
          <w:trHeight w:val="213"/>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Estimated cash proceeds from the divestment of ACT Genomics</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499"/>
              <w:spacing w:after="0"/>
              <w:rPr>
                <w:sz w:val="20"/>
                <w:szCs w:val="20"/>
                <w:color w:val="auto"/>
              </w:rPr>
            </w:pPr>
            <w:r>
              <w:rPr>
                <w:rFonts w:ascii="Times New Roman" w:cs="Times New Roman" w:eastAsia="Times New Roman" w:hAnsi="Times New Roman"/>
                <w:sz w:val="16"/>
                <w:szCs w:val="16"/>
                <w:color w:val="auto"/>
                <w:w w:val="99"/>
              </w:rPr>
              <w:t>46,305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current assets (Non-IFRS)</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w w:val="99"/>
              </w:rPr>
              <w:t>90,342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0800"/>
          </w:cols>
          <w:pgMar w:left="320" w:top="1400" w:right="779" w:bottom="1440" w:gutter="0" w:footer="0" w:header="0"/>
        </w:sectPr>
      </w:pPr>
    </w:p>
    <w:bookmarkStart w:id="12" w:name="page13"/>
    <w:bookmarkEnd w:id="12"/>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t>
      </w:r>
    </w:p>
    <w:p>
      <w:pPr>
        <w:ind w:left="80" w:hanging="72"/>
        <w:spacing w:after="0" w:line="203" w:lineRule="auto"/>
        <w:tabs>
          <w:tab w:leader="none" w:pos="80" w:val="left"/>
        </w:tabs>
        <w:numPr>
          <w:ilvl w:val="0"/>
          <w:numId w:val="9"/>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equity-settled share-based payment expenses from continuing operations as follows:</w:t>
      </w:r>
    </w:p>
    <w:p>
      <w:pPr>
        <w:spacing w:after="0" w:line="261"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60" w:type="dxa"/>
            <w:vAlign w:val="bottom"/>
            <w:tcBorders>
              <w:bottom w:val="single" w:sz="8" w:color="auto"/>
            </w:tcBorders>
          </w:tcPr>
          <w:p>
            <w:pPr>
              <w:spacing w:after="0"/>
              <w:rPr>
                <w:sz w:val="18"/>
                <w:szCs w:val="18"/>
                <w:color w:val="auto"/>
              </w:rPr>
            </w:pPr>
          </w:p>
        </w:tc>
      </w:tr>
      <w:tr>
        <w:trPr>
          <w:trHeight w:val="208"/>
        </w:trPr>
        <w:tc>
          <w:tcPr>
            <w:tcW w:w="7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7"/>
        </w:trPr>
        <w:tc>
          <w:tcPr>
            <w:tcW w:w="71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7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Selling and distribution expenses</w:t>
            </w: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r>
      <w:tr>
        <w:trPr>
          <w:trHeight w:val="213"/>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w:t>
            </w:r>
          </w:p>
        </w:tc>
      </w:tr>
      <w:tr>
        <w:trPr>
          <w:trHeight w:val="237"/>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employee equity-settled share-based payment expenses</w:t>
            </w:r>
          </w:p>
        </w:tc>
        <w:tc>
          <w:tcPr>
            <w:tcW w:w="64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8"/>
        </w:trPr>
        <w:tc>
          <w:tcPr>
            <w:tcW w:w="5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7"/>
        </w:trPr>
        <w:tc>
          <w:tcPr>
            <w:tcW w:w="5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5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distribution expenses</w:t>
            </w: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employee equity-settled share-based payment expenses</w:t>
            </w:r>
          </w:p>
        </w:tc>
        <w:tc>
          <w:tcPr>
            <w:tcW w:w="64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8"/>
        <w:spacing w:after="0" w:line="221" w:lineRule="auto"/>
        <w:tabs>
          <w:tab w:leader="none" w:pos="95" w:val="left"/>
        </w:tabs>
        <w:numPr>
          <w:ilvl w:val="0"/>
          <w:numId w:val="10"/>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ACT Genomics Holdings Company Limited (“ACT Genomics”) are classified as discontinued operations in accordance with IFRS 5 </w:t>
      </w:r>
      <w:r>
        <w:rPr>
          <w:rFonts w:ascii="Times New Roman" w:cs="Times New Roman" w:eastAsia="Times New Roman" w:hAnsi="Times New Roman"/>
          <w:sz w:val="16"/>
          <w:szCs w:val="16"/>
          <w:i w:val="1"/>
          <w:iCs w:val="1"/>
          <w:color w:val="auto"/>
        </w:rPr>
        <w:t>Non-current Assets Held for Sale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Discontinued Operations </w:t>
      </w:r>
      <w:r>
        <w:rPr>
          <w:rFonts w:ascii="Times New Roman" w:cs="Times New Roman" w:eastAsia="Times New Roman" w:hAnsi="Times New Roman"/>
          <w:sz w:val="16"/>
          <w:szCs w:val="16"/>
          <w:color w:val="auto"/>
        </w:rPr>
        <w:t>(“IFRS 5”). In accordance with IFRS 5, the results of the discontinued operation have been presented separately from the continuing operations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consolidated statements of profit or loss and other comprehensive income.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5"/>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6"/>
      <w:numFmt w:val="bullet"/>
      <w:start w:val="1"/>
    </w:lvl>
  </w:abstractNum>
  <w:abstractNum w:abstractNumId="9">
    <w:nsid w:val="4DB127F8"/>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2025-09-12T07:39:26Z</dcterms:created>
  <dcterms:modified xsi:type="dcterms:W3CDTF">2025-09-12T07:39:26Z</dcterms:modified>
</cp:coreProperties>
</file>