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8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200"/>
        <w:spacing w:after="0"/>
        <w:rPr>
          <w:sz w:val="20"/>
          <w:szCs w:val="20"/>
          <w:color w:val="auto"/>
        </w:rPr>
      </w:pPr>
      <w:r>
        <w:rPr>
          <w:rFonts w:ascii="Arial" w:cs="Arial" w:eastAsia="Arial" w:hAnsi="Arial"/>
          <w:sz w:val="43"/>
          <w:szCs w:val="43"/>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Unit 701-706, K11 Atelier King’s Road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728 King’s Road, Quarry Bay</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r>
        <w:rPr>
          <w:rFonts w:ascii="Arial" w:cs="Arial" w:eastAsia="Arial" w:hAnsi="Arial"/>
          <w:sz w:val="18"/>
          <w:szCs w:val="18"/>
          <w:u w:val="single" w:color="auto"/>
          <w:color w:val="0000EE"/>
        </w:rPr>
        <w:t>Press Release</w:t>
      </w:r>
    </w:p>
    <w:p>
      <w:pPr>
        <w:sectPr>
          <w:pgSz w:w="11900" w:h="16838" w:orient="portrait"/>
          <w:cols w:equalWidth="0" w:num="1">
            <w:col w:w="10019"/>
          </w:cols>
          <w:pgMar w:left="440" w:top="49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Prenetics Global Limited</w:t>
      </w:r>
    </w:p>
    <w:p>
      <w:pPr>
        <w:spacing w:after="0" w:line="229"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Lo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5, 2023</w:t>
      </w:r>
    </w:p>
    <w:p>
      <w:pPr>
        <w:sectPr>
          <w:pgSz w:w="11900" w:h="16838" w:orient="portrait"/>
          <w:cols w:equalWidth="0" w:num="1">
            <w:col w:w="11020"/>
          </w:cols>
          <w:pgMar w:left="440" w:top="48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4556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556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Prenetics Announces First Quarter 2023 Financial Results</w:t>
      </w:r>
    </w:p>
    <w:p>
      <w:pPr>
        <w:spacing w:after="0" w:line="225" w:lineRule="exact"/>
        <w:rPr>
          <w:sz w:val="20"/>
          <w:szCs w:val="20"/>
          <w:color w:val="auto"/>
        </w:rPr>
      </w:pPr>
    </w:p>
    <w:p>
      <w:pPr>
        <w:ind w:left="4" w:right="580"/>
        <w:spacing w:after="0" w:line="347" w:lineRule="auto"/>
        <w:rPr>
          <w:sz w:val="20"/>
          <w:szCs w:val="20"/>
          <w:color w:val="auto"/>
        </w:rPr>
      </w:pPr>
      <w:r>
        <w:rPr>
          <w:rFonts w:ascii="Arial" w:cs="Arial" w:eastAsia="Arial" w:hAnsi="Arial"/>
          <w:sz w:val="16"/>
          <w:szCs w:val="16"/>
          <w:b w:val="1"/>
          <w:bCs w:val="1"/>
          <w:color w:val="auto"/>
        </w:rPr>
        <w:t xml:space="preserve">HONG KONG, June 05, 2023 </w:t>
      </w:r>
      <w:r>
        <w:rPr>
          <w:rFonts w:ascii="Arial" w:cs="Arial" w:eastAsia="Arial" w:hAnsi="Arial"/>
          <w:sz w:val="16"/>
          <w:szCs w:val="16"/>
          <w:color w:val="auto"/>
        </w:rPr>
        <w:t>– Prenetics Global Limited (NASDAQ: PRE) (“Prenetics” or the “Company”), a leading genomics and precision</w:t>
      </w:r>
      <w:r>
        <w:rPr>
          <w:rFonts w:ascii="Arial" w:cs="Arial" w:eastAsia="Arial" w:hAnsi="Arial"/>
          <w:sz w:val="16"/>
          <w:szCs w:val="16"/>
          <w:b w:val="1"/>
          <w:bCs w:val="1"/>
          <w:color w:val="auto"/>
        </w:rPr>
        <w:t xml:space="preserve"> </w:t>
      </w:r>
      <w:r>
        <w:rPr>
          <w:rFonts w:ascii="Arial" w:cs="Arial" w:eastAsia="Arial" w:hAnsi="Arial"/>
          <w:sz w:val="16"/>
          <w:szCs w:val="16"/>
          <w:color w:val="auto"/>
        </w:rPr>
        <w:t>oncology company, today announced financial results for the first quarter ended March 31, 2023, along with recent business updates.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 Quarter 2023 Financial Highlights</w:t>
      </w:r>
    </w:p>
    <w:p>
      <w:pPr>
        <w:spacing w:after="0" w:line="135" w:lineRule="exact"/>
        <w:rPr>
          <w:sz w:val="20"/>
          <w:szCs w:val="20"/>
          <w:color w:val="auto"/>
        </w:rPr>
      </w:pPr>
    </w:p>
    <w:p>
      <w:pPr>
        <w:ind w:left="984" w:hanging="433"/>
        <w:spacing w:after="0"/>
        <w:tabs>
          <w:tab w:leader="none" w:pos="98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US$17.7 million</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of US$(5.7) million</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and other short-term assets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US$224.1 million as of March 31, 2023</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 Business Updates</w:t>
      </w:r>
    </w:p>
    <w:p>
      <w:pPr>
        <w:spacing w:after="0" w:line="135" w:lineRule="exact"/>
        <w:rPr>
          <w:sz w:val="20"/>
          <w:szCs w:val="20"/>
          <w:color w:val="auto"/>
        </w:rPr>
      </w:pPr>
    </w:p>
    <w:p>
      <w:pPr>
        <w:ind w:left="984" w:hanging="433"/>
        <w:spacing w:after="0"/>
        <w:tabs>
          <w:tab w:leader="none" w:pos="984" w:val="left"/>
        </w:tabs>
        <w:numPr>
          <w:ilvl w:val="0"/>
          <w:numId w:val="2"/>
        </w:numPr>
        <w:rPr>
          <w:rFonts w:ascii="Arial" w:cs="Arial" w:eastAsia="Arial" w:hAnsi="Arial"/>
          <w:sz w:val="17"/>
          <w:szCs w:val="17"/>
          <w:color w:val="auto"/>
        </w:rPr>
      </w:pPr>
      <w:r>
        <w:rPr>
          <w:rFonts w:ascii="Arial" w:cs="Arial" w:eastAsia="Arial" w:hAnsi="Arial"/>
          <w:sz w:val="17"/>
          <w:szCs w:val="17"/>
          <w:color w:val="auto"/>
        </w:rPr>
        <w:t>Joel Neoh, highly successful serial entrepreneur, joins Prenetics as Chief Consumer Officer and Managing Director for CircleDNA.</w:t>
      </w:r>
    </w:p>
    <w:p>
      <w:pPr>
        <w:spacing w:after="0" w:line="142" w:lineRule="exact"/>
        <w:rPr>
          <w:rFonts w:ascii="Arial" w:cs="Arial" w:eastAsia="Arial" w:hAnsi="Arial"/>
          <w:sz w:val="17"/>
          <w:szCs w:val="17"/>
          <w:color w:val="auto"/>
        </w:rPr>
      </w:pPr>
    </w:p>
    <w:p>
      <w:pPr>
        <w:jc w:val="both"/>
        <w:ind w:left="984" w:right="640" w:hanging="433"/>
        <w:spacing w:after="0" w:line="263" w:lineRule="auto"/>
        <w:tabs>
          <w:tab w:leader="none" w:pos="984" w:val="left"/>
        </w:tabs>
        <w:numPr>
          <w:ilvl w:val="0"/>
          <w:numId w:val="2"/>
        </w:numPr>
        <w:rPr>
          <w:rFonts w:ascii="Arial" w:cs="Arial" w:eastAsia="Arial" w:hAnsi="Arial"/>
          <w:sz w:val="18"/>
          <w:szCs w:val="18"/>
          <w:color w:val="auto"/>
        </w:rPr>
      </w:pPr>
      <w:r>
        <w:rPr>
          <w:rFonts w:ascii="Arial" w:cs="Arial" w:eastAsia="Arial" w:hAnsi="Arial"/>
          <w:sz w:val="18"/>
          <w:szCs w:val="18"/>
          <w:color w:val="auto"/>
        </w:rPr>
        <w:t>CircleDNA is poised to transform into a full-scale preventive and personalized healthcare management platform. This will involve expanding its portfolio to include a comprehensive suite of products and services, such as blood tests, telehealth services, bespoke supplements, and prescription drug deliveries, with launch by the fourth quarter of 2023.</w:t>
      </w:r>
    </w:p>
    <w:p>
      <w:pPr>
        <w:spacing w:after="0" w:line="89" w:lineRule="exact"/>
        <w:rPr>
          <w:rFonts w:ascii="Arial" w:cs="Arial" w:eastAsia="Arial" w:hAnsi="Arial"/>
          <w:sz w:val="18"/>
          <w:szCs w:val="18"/>
          <w:color w:val="auto"/>
        </w:rPr>
      </w:pPr>
    </w:p>
    <w:p>
      <w:pPr>
        <w:ind w:left="984" w:right="20" w:hanging="433"/>
        <w:spacing w:after="0" w:line="263" w:lineRule="auto"/>
        <w:tabs>
          <w:tab w:leader="none" w:pos="984"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 Genomics is set to launch a liquid biopsy version of its comprehensive genomic profiling test by the fourth quarter of 2023. Together, with the FDA-cleared ACTOnco product, this new product will be highly complementary and will allow ACT Genomics to offer both a tissue and a liquid test for solid tumors.</w:t>
      </w:r>
    </w:p>
    <w:p>
      <w:pPr>
        <w:spacing w:after="0" w:line="180"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b w:val="1"/>
          <w:bCs w:val="1"/>
          <w:color w:val="auto"/>
        </w:rPr>
        <w:t xml:space="preserve">Danny Yeung, Chief Executive Officer and Co-founder of Prenetics, </w:t>
      </w:r>
      <w:r>
        <w:rPr>
          <w:rFonts w:ascii="Arial" w:cs="Arial" w:eastAsia="Arial" w:hAnsi="Arial"/>
          <w:sz w:val="18"/>
          <w:szCs w:val="18"/>
          <w:color w:val="auto"/>
        </w:rPr>
        <w:t>said “2023 is a year of evolution for Prenetics as we execute our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health and clinical testing business strategy. Guided by our R&amp;D team and Scientific Advisory Board, we are preparing for exciting product launches within CircleDNA and ACT Genomics by year-end. These innovations are projected to significantly bolster our fiscal health, enriching both our top and bottom lines. In order to bolster the strategic advancement in consumer health, we are thrilled to add Joel to our executive leadership team. Joel and I have known each other for more than 12 years and have been colleagues since both of our previous companies were acquired by Groupon in 2010. Joel’s proven track record as a successful serial entrepreneur and his deep consumer insights underscore our commitment to growing CircleDNA into a leading global consumer health business. I’m confident with Joel at the helm, significant growth lies ahead for CircleDNA. We also believe our vast efforts in consumer health will play a highly synergistic role in our early cancer detection initiatives, in which we are immensely excited about and will share more in due course.”</w:t>
      </w:r>
    </w:p>
    <w:p>
      <w:pPr>
        <w:spacing w:after="0" w:line="192"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Joel said “My entrepreneurial journey to date has been immensely rewarding, driven by my passion for making a difference. After spending the past 15 years building various global consumer platforms, I feel compelled to give back to the community by positively influencing people’s health and showcasing the importance of prevention and health. I’m excited to join Danny and the exceptional team at Prenetics to spearhead the consumer health business. Leveraging our existing base of over 300,000 CircleDNA customers, I believe we can continue to grow and make a difference in millions of lives globally. By working with the best global scientists, doctors and clinicians, we intend to offer a suite of preventive and personalized healthcare solutions to empower people to live longer, happier and healthier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44" w:right="360" w:hanging="444"/>
        <w:spacing w:after="0" w:line="232" w:lineRule="auto"/>
        <w:tabs>
          <w:tab w:leader="none" w:pos="444" w:val="left"/>
        </w:tabs>
        <w:numPr>
          <w:ilvl w:val="0"/>
          <w:numId w:val="3"/>
        </w:numPr>
        <w:rPr>
          <w:rFonts w:ascii="Arial" w:cs="Arial" w:eastAsia="Arial" w:hAnsi="Arial"/>
          <w:sz w:val="24"/>
          <w:szCs w:val="24"/>
          <w:color w:val="auto"/>
          <w:vertAlign w:val="superscript"/>
        </w:rPr>
      </w:pPr>
      <w:r>
        <w:rPr>
          <w:rFonts w:ascii="Arial" w:cs="Arial" w:eastAsia="Arial" w:hAnsi="Arial"/>
          <w:sz w:val="16"/>
          <w:szCs w:val="16"/>
          <w:color w:val="auto"/>
        </w:rPr>
        <w:t>Represents current assets, including cash and cash equivalents and short-term deposits totaling US$186.2 million, financial assets at fair value through profit or loss of US$17.5 million, and trade receivables of US$5.7 million, amongst other accounting line items under current assets.</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134556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82575"/>
                    </a:xfrm>
                    <a:prstGeom prst="rect">
                      <a:avLst/>
                    </a:prstGeom>
                    <a:noFill/>
                  </pic:spPr>
                </pic:pic>
              </a:graphicData>
            </a:graphic>
          </wp:anchor>
        </w:drawing>
        <w:t>Joel Neoh Biography</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Joel Neoh is a serial entrepreneur and technology executive with over 15 years of top-flight leadership and board experience. Joel’s experience in consumer technology spans sectors such as fintech, e-commerce, digital media, and health &amp; wellness. Most recently, Joel was the founder of Fave, a leading Southeast Asian fintech platform backed by Sequoia Capital and acquired by Pine Labs, a unicorn company. Joel has been instrumental in accelerating digital payments and financial services for millions of consumers and merchants. Previously, Joel was the founder of GroupsMore, which was acquired by Groupon. While at Groupon, Joel headed up its Asia Pacific business, overseeing more than 2,000 employees. Joel’s entrepreneurial journey started out by co-founding Says.com, one of Malaysia’s largest digital news platforms. Joel is also a Board Director for the Institute of Corporate Directors Malaysia, promoting excellence in corporate governance. His entrepreneurial success and leadership led to his recognition as Ernst &amp; Young Emerging Entrepreneur of the Year (Malaysia) in 2012, and as a Young Global Leader by the World Economic Forum in 2013.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Prenetics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Prenetics is a leading genomics and precision oncology company dedicated to transforming patient care through advanced genomic and molecular technologies. Our mission is to revolutionize healthcare by integrating consumer health and genetics, breakthrough technology for early cancer detection, targeted treatments and genetic risk identification onto one comprehensive platform. We acquired ACT Genomics last December, the only Asia-based company to receive FDA clearance for a comprehensive genomics profiling test for solid tumors, enabling us to expand our capabilities and offer comprehensive cancer solutions to patients worldwide. Prenetics is listed on NASDAQ with the ticker PRE. To learn more about Prenetics, please visit </w:t>
      </w:r>
      <w:r>
        <w:rPr>
          <w:rFonts w:ascii="Arial" w:cs="Arial" w:eastAsia="Arial" w:hAnsi="Arial"/>
          <w:sz w:val="18"/>
          <w:szCs w:val="18"/>
          <w:u w:val="single" w:color="auto"/>
          <w:color w:val="auto"/>
        </w:rPr>
        <w:t>www.prenetics.com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investors@prenetics.com</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ICR Westwicke:</w:t>
            </w:r>
          </w:p>
        </w:tc>
        <w:tc>
          <w:tcPr>
            <w:tcW w:w="15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37"/>
        </w:trPr>
        <w:tc>
          <w:tcPr>
            <w:tcW w:w="1400" w:type="dxa"/>
            <w:vAlign w:val="bottom"/>
          </w:tcPr>
          <w:p>
            <w:pPr>
              <w:spacing w:after="0"/>
              <w:rPr>
                <w:sz w:val="20"/>
                <w:szCs w:val="20"/>
                <w:color w:val="auto"/>
              </w:rPr>
            </w:pPr>
            <w:r>
              <w:rPr>
                <w:rFonts w:ascii="Arial" w:cs="Arial" w:eastAsia="Arial" w:hAnsi="Arial"/>
                <w:sz w:val="18"/>
                <w:szCs w:val="18"/>
                <w:color w:val="auto"/>
              </w:rPr>
              <w:t>Caroline Corner</w:t>
            </w:r>
          </w:p>
        </w:tc>
        <w:tc>
          <w:tcPr>
            <w:tcW w:w="1520" w:type="dxa"/>
            <w:vAlign w:val="bottom"/>
          </w:tcPr>
          <w:p>
            <w:pPr>
              <w:ind w:left="140"/>
              <w:spacing w:after="0"/>
              <w:rPr>
                <w:sz w:val="20"/>
                <w:szCs w:val="20"/>
                <w:color w:val="auto"/>
              </w:rPr>
            </w:pPr>
            <w:r>
              <w:rPr>
                <w:rFonts w:ascii="Arial" w:cs="Arial" w:eastAsia="Arial" w:hAnsi="Arial"/>
                <w:sz w:val="18"/>
                <w:szCs w:val="18"/>
                <w:color w:val="auto"/>
              </w:rPr>
              <w:t>+1 415 202 5678</w:t>
            </w:r>
          </w:p>
        </w:tc>
        <w:tc>
          <w:tcPr>
            <w:tcW w:w="3040" w:type="dxa"/>
            <w:vAlign w:val="bottom"/>
          </w:tcPr>
          <w:p>
            <w:pPr>
              <w:ind w:left="160"/>
              <w:spacing w:after="0"/>
              <w:rPr>
                <w:sz w:val="20"/>
                <w:szCs w:val="20"/>
                <w:color w:val="auto"/>
              </w:rPr>
            </w:pPr>
            <w:r>
              <w:rPr>
                <w:rFonts w:ascii="Arial" w:cs="Arial" w:eastAsia="Arial" w:hAnsi="Arial"/>
                <w:sz w:val="18"/>
                <w:szCs w:val="18"/>
                <w:color w:val="auto"/>
                <w:w w:val="91"/>
              </w:rPr>
              <w:t>Email: caroline.corner@westwicke.com</w:t>
            </w:r>
          </w:p>
        </w:tc>
      </w:tr>
      <w:tr>
        <w:trPr>
          <w:trHeight w:val="540"/>
        </w:trPr>
        <w:tc>
          <w:tcPr>
            <w:tcW w:w="1400" w:type="dxa"/>
            <w:vAlign w:val="bottom"/>
          </w:tcPr>
          <w:p>
            <w:pPr>
              <w:spacing w:after="0"/>
              <w:rPr>
                <w:sz w:val="20"/>
                <w:szCs w:val="20"/>
                <w:color w:val="auto"/>
              </w:rPr>
            </w:pPr>
            <w:r>
              <w:rPr>
                <w:rFonts w:ascii="Arial" w:cs="Arial" w:eastAsia="Arial" w:hAnsi="Arial"/>
                <w:sz w:val="18"/>
                <w:szCs w:val="18"/>
                <w:b w:val="1"/>
                <w:bCs w:val="1"/>
                <w:color w:val="auto"/>
              </w:rPr>
              <w:t>Media contact:</w:t>
            </w:r>
          </w:p>
        </w:tc>
        <w:tc>
          <w:tcPr>
            <w:tcW w:w="1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2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Strategic Public Relations Group</w:t>
            </w:r>
          </w:p>
        </w:tc>
        <w:tc>
          <w:tcPr>
            <w:tcW w:w="3040" w:type="dxa"/>
            <w:vAlign w:val="bottom"/>
          </w:tcPr>
          <w:p>
            <w:pPr>
              <w:spacing w:after="0"/>
              <w:rPr>
                <w:sz w:val="24"/>
                <w:szCs w:val="24"/>
                <w:color w:val="auto"/>
              </w:rPr>
            </w:pPr>
          </w:p>
        </w:tc>
      </w:tr>
      <w:tr>
        <w:trPr>
          <w:trHeight w:val="338"/>
        </w:trPr>
        <w:tc>
          <w:tcPr>
            <w:tcW w:w="1400" w:type="dxa"/>
            <w:vAlign w:val="bottom"/>
          </w:tcPr>
          <w:p>
            <w:pPr>
              <w:spacing w:after="0"/>
              <w:rPr>
                <w:sz w:val="20"/>
                <w:szCs w:val="20"/>
                <w:color w:val="auto"/>
              </w:rPr>
            </w:pPr>
            <w:r>
              <w:rPr>
                <w:rFonts w:ascii="Arial" w:cs="Arial" w:eastAsia="Arial" w:hAnsi="Arial"/>
                <w:sz w:val="18"/>
                <w:szCs w:val="18"/>
                <w:color w:val="auto"/>
              </w:rPr>
              <w:t>Corinne Ho</w:t>
            </w:r>
          </w:p>
        </w:tc>
        <w:tc>
          <w:tcPr>
            <w:tcW w:w="1520" w:type="dxa"/>
            <w:vAlign w:val="bottom"/>
          </w:tcPr>
          <w:p>
            <w:pPr>
              <w:ind w:left="140"/>
              <w:spacing w:after="0"/>
              <w:rPr>
                <w:sz w:val="20"/>
                <w:szCs w:val="20"/>
                <w:color w:val="auto"/>
              </w:rPr>
            </w:pPr>
            <w:r>
              <w:rPr>
                <w:rFonts w:ascii="Arial" w:cs="Arial" w:eastAsia="Arial" w:hAnsi="Arial"/>
                <w:sz w:val="18"/>
                <w:szCs w:val="18"/>
                <w:color w:val="auto"/>
              </w:rPr>
              <w:t>+852 2114 4911</w:t>
            </w:r>
          </w:p>
        </w:tc>
        <w:tc>
          <w:tcPr>
            <w:tcW w:w="3040" w:type="dxa"/>
            <w:vAlign w:val="bottom"/>
          </w:tcPr>
          <w:p>
            <w:pPr>
              <w:ind w:left="160"/>
              <w:spacing w:after="0"/>
              <w:rPr>
                <w:sz w:val="20"/>
                <w:szCs w:val="20"/>
                <w:color w:val="auto"/>
              </w:rPr>
            </w:pPr>
            <w:r>
              <w:rPr>
                <w:rFonts w:ascii="Arial" w:cs="Arial" w:eastAsia="Arial" w:hAnsi="Arial"/>
                <w:sz w:val="18"/>
                <w:szCs w:val="18"/>
                <w:color w:val="auto"/>
              </w:rPr>
              <w:t>Email: corinne.ho@sprg.com.hk</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“poised to”, “set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on Form F-1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ectPr>
          <w:pgSz w:w="11900" w:h="16838" w:orient="portrait"/>
          <w:cols w:equalWidth="0" w:num="1">
            <w:col w:w="11000"/>
          </w:cols>
          <w:pgMar w:left="440" w:top="108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34556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82575"/>
                    </a:xfrm>
                    <a:prstGeom prst="rect">
                      <a:avLst/>
                    </a:prstGeom>
                    <a:noFill/>
                  </pic:spPr>
                </pic:pic>
              </a:graphicData>
            </a:graphic>
          </wp:anchor>
        </w:drawing>
        <w:t>Basis of Presentation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Unaudited Financial Information and Non-IFRS Financial Measures has been provided in the financial statements tables included at the end of this press release. An explanation of these measures is also included below under the heading “Unaudited Financial Information and Non-IFRS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supplement Prenetics’ consolidated financial statements prepared in accordance with International Financial Reporting Standards (“IFRS”), the Company is providing non-IFRS measures, adjusted EBITDA, adjusted gross profit and adjusted (loss)/profit attributable to equity shareholders of Prenetics.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Management is excluding from some or all of its non-IFRS results (1) Employee equity-settled share-based payment expenses, (2) depreciation and amortization, (3) finance income and exchange gain or loss, net, and (4) certain items that may not be indicative of our business, results of operations, or outlook, including but not limited to non-cash and/or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(loss)/profit from operations under IFRS and adjusted EBITDA (Non-IFRS)”, “Reconciliation of gross profit under IFRS and adjusted gross profit (Non-IFRS)” and “Reconciliation of (loss)/profit attributable to equity shareholders of Prenetics under IFRS and adjusted (loss)/profit attributable to equity shareholders of Prenetics (Non-IFRS)” set forth at the end of this document.</w:t>
      </w:r>
    </w:p>
    <w:p>
      <w:pPr>
        <w:sectPr>
          <w:pgSz w:w="11900" w:h="16838" w:orient="portrait"/>
          <w:cols w:equalWidth="0" w:num="1">
            <w:col w:w="11000"/>
          </w:cols>
          <w:pgMar w:left="440" w:top="1080" w:right="45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345565"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8257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consolidated statements of financial position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8920" w:type="dxa"/>
            <w:vAlign w:val="bottom"/>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9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11,809,757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13,102,546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14,463,400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jc w:val="right"/>
              <w:spacing w:after="0"/>
              <w:rPr>
                <w:sz w:val="20"/>
                <w:szCs w:val="20"/>
                <w:color w:val="auto"/>
              </w:rPr>
            </w:pPr>
            <w:r>
              <w:rPr>
                <w:rFonts w:ascii="Arial" w:cs="Arial" w:eastAsia="Arial" w:hAnsi="Arial"/>
                <w:sz w:val="18"/>
                <w:szCs w:val="18"/>
                <w:color w:val="auto"/>
              </w:rPr>
              <w:t>33,800,276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33,800,276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Interests in associates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7,626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5,119,170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6,307,834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1,064,194</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66,941,762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70,320,914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Deferred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4,547,611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4,577,255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3,420,013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Trade receivables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5,718,516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41,691,913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Deposits, prepayments and other receivables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6,488,436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6,889,114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Amount due from an associate</w:t>
            </w:r>
          </w:p>
        </w:tc>
        <w:tc>
          <w:tcPr>
            <w:tcW w:w="940" w:type="dxa"/>
            <w:vAlign w:val="bottom"/>
          </w:tcPr>
          <w:p>
            <w:pPr>
              <w:jc w:val="right"/>
              <w:spacing w:after="0"/>
              <w:rPr>
                <w:sz w:val="20"/>
                <w:szCs w:val="20"/>
                <w:color w:val="auto"/>
              </w:rPr>
            </w:pPr>
            <w:r>
              <w:rPr>
                <w:rFonts w:ascii="Arial" w:cs="Arial" w:eastAsia="Arial" w:hAnsi="Arial"/>
                <w:sz w:val="18"/>
                <w:szCs w:val="18"/>
                <w:color w:val="auto"/>
              </w:rPr>
              <w:t>181,942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17,537,608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17,537,608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Short-term deposits</w:t>
            </w:r>
          </w:p>
        </w:tc>
        <w:tc>
          <w:tcPr>
            <w:tcW w:w="940" w:type="dxa"/>
            <w:vAlign w:val="bottom"/>
          </w:tcPr>
          <w:p>
            <w:pPr>
              <w:jc w:val="right"/>
              <w:spacing w:after="0"/>
              <w:rPr>
                <w:sz w:val="20"/>
                <w:szCs w:val="20"/>
                <w:color w:val="auto"/>
              </w:rPr>
            </w:pPr>
            <w:r>
              <w:rPr>
                <w:rFonts w:ascii="Arial" w:cs="Arial" w:eastAsia="Arial" w:hAnsi="Arial"/>
                <w:sz w:val="18"/>
                <w:szCs w:val="18"/>
                <w:color w:val="auto"/>
              </w:rPr>
              <w:t>19,872,581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19,920,160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166,335,875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146,660,195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224,102,582</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241,810,317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291,044,344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312,131,231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2,924,369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Warrant liabilities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2,314,609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3,574,885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3,627,663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830,562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9,697,203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11,473,256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Trade payables</w:t>
            </w:r>
          </w:p>
        </w:tc>
        <w:tc>
          <w:tcPr>
            <w:tcW w:w="940" w:type="dxa"/>
            <w:vAlign w:val="bottom"/>
          </w:tcPr>
          <w:p>
            <w:pPr>
              <w:jc w:val="right"/>
              <w:spacing w:after="0"/>
              <w:rPr>
                <w:sz w:val="20"/>
                <w:szCs w:val="20"/>
                <w:color w:val="auto"/>
              </w:rPr>
            </w:pPr>
            <w:r>
              <w:rPr>
                <w:rFonts w:ascii="Arial" w:cs="Arial" w:eastAsia="Arial" w:hAnsi="Arial"/>
                <w:sz w:val="18"/>
                <w:szCs w:val="18"/>
                <w:color w:val="auto"/>
              </w:rPr>
              <w:t>7,505,724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7,291,133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6,460,445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15,611,421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Contract liabilities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4,917,268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5,674,290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2,779,426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2,882,933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line="216" w:lineRule="exact"/>
              <w:rPr>
                <w:sz w:val="20"/>
                <w:szCs w:val="20"/>
                <w:color w:val="auto"/>
              </w:rPr>
            </w:pPr>
            <w:r>
              <w:rPr>
                <w:rFonts w:ascii="Arial" w:cs="Arial" w:eastAsia="Arial" w:hAnsi="Arial"/>
                <w:sz w:val="17"/>
                <w:szCs w:val="17"/>
                <w:color w:val="auto"/>
              </w:rPr>
              <w:t>Liabilities for puttable financial instrument</w:t>
            </w:r>
            <w:r>
              <w:rPr>
                <w:rFonts w:ascii="Arial" w:cs="Arial" w:eastAsia="Arial" w:hAnsi="Arial"/>
                <w:sz w:val="25"/>
                <w:szCs w:val="25"/>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17,459,600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17,138,905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Tax payable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8,692,193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8,596,433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47,814,656</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57,195,115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57,511,859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68,668,371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Share capital</w:t>
            </w:r>
            <w:r>
              <w:rPr>
                <w:rFonts w:ascii="Arial" w:cs="Arial" w:eastAsia="Arial" w:hAnsi="Arial"/>
                <w:sz w:val="25"/>
                <w:szCs w:val="25"/>
                <w:color w:val="auto"/>
                <w:vertAlign w:val="superscript"/>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Reserves</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1"/>
              </w:rPr>
              <w:t>228,232,194</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237,050,429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equity attributable to equity shareholders of the Company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228,248,076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237,064,127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5,284,409</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6,398,733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233,532,485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243,462,860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291,044,344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312,131,231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44" w:right="80" w:hanging="444"/>
        <w:spacing w:after="0" w:line="246" w:lineRule="auto"/>
        <w:tabs>
          <w:tab w:leader="none" w:pos="444"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 xml:space="preserve">In connection with the acquisition of ACT Genomics, the remaining shareholders of ACT Genomics - representing 25.61% of the fully diluted shareholding of ACT Genomics that Prenetics does not own - were granted put options which allow these remaining shareholders to put their remaining shares to Prenetics under certain conditions. The liabilities arising from such put option are recorded as </w:t>
      </w:r>
      <w:r>
        <w:rPr>
          <w:rFonts w:ascii="Arial" w:cs="Arial" w:eastAsia="Arial" w:hAnsi="Arial"/>
          <w:sz w:val="16"/>
          <w:szCs w:val="16"/>
          <w:i w:val="1"/>
          <w:iCs w:val="1"/>
          <w:color w:val="auto"/>
        </w:rPr>
        <w:t>liabilities for puttable financial</w:t>
      </w:r>
    </w:p>
    <w:tbl>
      <w:tblPr>
        <w:tblLayout w:type="fixed"/>
        <w:tblInd w:w="4"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8660" w:type="dxa"/>
            <w:vAlign w:val="bottom"/>
          </w:tcPr>
          <w:p>
            <w:pPr>
              <w:ind w:left="180"/>
              <w:spacing w:after="0" w:line="204" w:lineRule="exact"/>
              <w:rPr>
                <w:sz w:val="20"/>
                <w:szCs w:val="20"/>
                <w:color w:val="auto"/>
              </w:rPr>
            </w:pPr>
            <w:r>
              <w:rPr>
                <w:rFonts w:ascii="Arial" w:cs="Arial" w:eastAsia="Arial" w:hAnsi="Arial"/>
                <w:sz w:val="18"/>
                <w:szCs w:val="18"/>
                <w:i w:val="1"/>
                <w:iCs w:val="1"/>
                <w:color w:val="auto"/>
              </w:rPr>
              <w:t>instrument</w:t>
            </w:r>
            <w:r>
              <w:rPr>
                <w:rFonts w:ascii="Arial" w:cs="Arial" w:eastAsia="Arial" w:hAnsi="Arial"/>
                <w:sz w:val="18"/>
                <w:szCs w:val="18"/>
                <w:color w:val="auto"/>
              </w:rPr>
              <w:t>, and are valued at the present value of the exercise price of the put option.</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3"/>
                <w:szCs w:val="13"/>
                <w:color w:val="auto"/>
              </w:rPr>
              <w:t>3</w:t>
            </w:r>
          </w:p>
        </w:tc>
        <w:tc>
          <w:tcPr>
            <w:tcW w:w="8660" w:type="dxa"/>
            <w:vAlign w:val="bottom"/>
          </w:tcPr>
          <w:p>
            <w:pPr>
              <w:ind w:left="180"/>
              <w:spacing w:after="0"/>
              <w:rPr>
                <w:sz w:val="20"/>
                <w:szCs w:val="20"/>
                <w:color w:val="auto"/>
              </w:rPr>
            </w:pPr>
            <w:r>
              <w:rPr>
                <w:rFonts w:ascii="Arial" w:cs="Arial" w:eastAsia="Arial" w:hAnsi="Arial"/>
                <w:sz w:val="18"/>
                <w:szCs w:val="18"/>
                <w:color w:val="auto"/>
              </w:rPr>
              <w:t>Represents number of authorized and issued shares as follows:</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authorized shares of $0.0001 each</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500,000,000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500,000,000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Number of issued shares</w:t>
            </w: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2"/>
            <w:vMerge w:val="continue"/>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158,820,280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136,983,110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1080"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345565"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8257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280" w:type="dxa"/>
            <w:vAlign w:val="bottom"/>
            <w:gridSpan w:val="7"/>
          </w:tcPr>
          <w:p>
            <w:pPr>
              <w:jc w:val="right"/>
              <w:ind w:right="781"/>
              <w:spacing w:after="0"/>
              <w:rPr>
                <w:sz w:val="20"/>
                <w:szCs w:val="20"/>
                <w:color w:val="auto"/>
              </w:rPr>
            </w:pPr>
            <w:r>
              <w:rPr>
                <w:rFonts w:ascii="Arial" w:cs="Arial" w:eastAsia="Arial" w:hAnsi="Arial"/>
                <w:sz w:val="14"/>
                <w:szCs w:val="14"/>
                <w:b w:val="1"/>
                <w:bCs w:val="1"/>
                <w:color w:val="auto"/>
              </w:rPr>
              <w:t>For the three months ended</w:t>
            </w:r>
          </w:p>
        </w:tc>
      </w:tr>
      <w:tr>
        <w:trPr>
          <w:trHeight w:val="153"/>
        </w:trPr>
        <w:tc>
          <w:tcPr>
            <w:tcW w:w="7740" w:type="dxa"/>
            <w:vAlign w:val="bottom"/>
          </w:tcPr>
          <w:p>
            <w:pPr>
              <w:spacing w:after="0"/>
              <w:rPr>
                <w:sz w:val="13"/>
                <w:szCs w:val="13"/>
                <w:color w:val="auto"/>
              </w:rPr>
            </w:pPr>
          </w:p>
        </w:tc>
        <w:tc>
          <w:tcPr>
            <w:tcW w:w="1120" w:type="dxa"/>
            <w:vAlign w:val="bottom"/>
            <w:gridSpan w:val="3"/>
          </w:tcPr>
          <w:p>
            <w:pPr>
              <w:jc w:val="right"/>
              <w:ind w:right="321"/>
              <w:spacing w:after="0" w:line="153"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4"/>
              </w:rPr>
              <w:t>December 31,</w:t>
            </w:r>
          </w:p>
        </w:tc>
        <w:tc>
          <w:tcPr>
            <w:tcW w:w="1040" w:type="dxa"/>
            <w:vAlign w:val="bottom"/>
            <w:gridSpan w:val="2"/>
          </w:tcPr>
          <w:p>
            <w:pPr>
              <w:jc w:val="right"/>
              <w:ind w:right="181"/>
              <w:spacing w:after="0" w:line="153" w:lineRule="exact"/>
              <w:rPr>
                <w:sz w:val="20"/>
                <w:szCs w:val="20"/>
                <w:color w:val="auto"/>
              </w:rPr>
            </w:pPr>
            <w:r>
              <w:rPr>
                <w:rFonts w:ascii="Arial" w:cs="Arial" w:eastAsia="Arial" w:hAnsi="Arial"/>
                <w:sz w:val="14"/>
                <w:szCs w:val="14"/>
                <w:b w:val="1"/>
                <w:bCs w:val="1"/>
                <w:color w:val="auto"/>
              </w:rPr>
              <w:t>March 31,</w:t>
            </w:r>
          </w:p>
        </w:tc>
      </w:tr>
      <w:tr>
        <w:trPr>
          <w:trHeight w:val="167"/>
        </w:trPr>
        <w:tc>
          <w:tcPr>
            <w:tcW w:w="7740" w:type="dxa"/>
            <w:vAlign w:val="bottom"/>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i w:val="1"/>
                <w:iCs w:val="1"/>
                <w:color w:val="auto"/>
              </w:rPr>
              <w:t>2022</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9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17,700,142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52,320,754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9"/>
              </w:rPr>
              <w:t>92,044,049</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Direct costs</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(9,818,719)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(25,317,570)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(56,006,216)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7,881,423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27,003,184</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36,037,833</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Other income and other net gain/(losses)</w:t>
            </w:r>
          </w:p>
        </w:tc>
        <w:tc>
          <w:tcPr>
            <w:tcW w:w="900" w:type="dxa"/>
            <w:vAlign w:val="bottom"/>
          </w:tcPr>
          <w:p>
            <w:pPr>
              <w:jc w:val="right"/>
              <w:spacing w:after="0"/>
              <w:rPr>
                <w:sz w:val="20"/>
                <w:szCs w:val="20"/>
                <w:color w:val="auto"/>
              </w:rPr>
            </w:pPr>
            <w:r>
              <w:rPr>
                <w:rFonts w:ascii="Arial" w:cs="Arial" w:eastAsia="Arial" w:hAnsi="Arial"/>
                <w:sz w:val="18"/>
                <w:szCs w:val="18"/>
                <w:color w:val="auto"/>
              </w:rPr>
              <w:t>1,223,124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1,149,335</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(29,011)</w:t>
            </w:r>
          </w:p>
        </w:tc>
      </w:tr>
      <w:tr>
        <w:trPr>
          <w:trHeight w:val="216"/>
        </w:trPr>
        <w:tc>
          <w:tcPr>
            <w:tcW w:w="77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Selling and distribution expenses</w:t>
            </w:r>
            <w:r>
              <w:rPr>
                <w:rFonts w:ascii="Arial" w:cs="Arial" w:eastAsia="Arial" w:hAnsi="Arial"/>
                <w:sz w:val="25"/>
                <w:szCs w:val="25"/>
                <w:color w:val="auto"/>
                <w:vertAlign w:val="superscript"/>
              </w:rPr>
              <w:t>4</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(2,642,552)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(2,503,384)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(5,283,146)</w:t>
            </w:r>
          </w:p>
        </w:tc>
      </w:tr>
      <w:tr>
        <w:trPr>
          <w:trHeight w:val="216"/>
        </w:trPr>
        <w:tc>
          <w:tcPr>
            <w:tcW w:w="7740" w:type="dxa"/>
            <w:vAlign w:val="bottom"/>
          </w:tcPr>
          <w:p>
            <w:pPr>
              <w:spacing w:after="0" w:line="216" w:lineRule="exact"/>
              <w:rPr>
                <w:sz w:val="20"/>
                <w:szCs w:val="20"/>
                <w:color w:val="auto"/>
              </w:rPr>
            </w:pPr>
            <w:r>
              <w:rPr>
                <w:rFonts w:ascii="Arial" w:cs="Arial" w:eastAsia="Arial" w:hAnsi="Arial"/>
                <w:sz w:val="17"/>
                <w:szCs w:val="17"/>
                <w:color w:val="auto"/>
              </w:rPr>
              <w:t>Research and development expenses</w:t>
            </w:r>
            <w:r>
              <w:rPr>
                <w:rFonts w:ascii="Arial" w:cs="Arial" w:eastAsia="Arial" w:hAnsi="Arial"/>
                <w:sz w:val="25"/>
                <w:szCs w:val="25"/>
                <w:color w:val="auto"/>
                <w:vertAlign w:val="superscript"/>
              </w:rPr>
              <w:t>4</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(3,474,554)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(3,605,801)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(3,821,490)</w:t>
            </w:r>
          </w:p>
        </w:tc>
      </w:tr>
      <w:tr>
        <w:trPr>
          <w:trHeight w:val="216"/>
        </w:trPr>
        <w:tc>
          <w:tcPr>
            <w:tcW w:w="77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Restructuring costs in relation to diagnostic business</w:t>
            </w:r>
            <w:r>
              <w:rPr>
                <w:rFonts w:ascii="Arial" w:cs="Arial" w:eastAsia="Arial" w:hAnsi="Arial"/>
                <w:sz w:val="25"/>
                <w:szCs w:val="25"/>
                <w:color w:val="auto"/>
                <w:vertAlign w:val="superscript"/>
              </w:rPr>
              <w:t>5</w:t>
            </w:r>
          </w:p>
        </w:tc>
        <w:tc>
          <w:tcPr>
            <w:tcW w:w="112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(2,709,143)</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spacing w:after="0" w:line="216" w:lineRule="exact"/>
              <w:rPr>
                <w:sz w:val="20"/>
                <w:szCs w:val="20"/>
                <w:color w:val="auto"/>
              </w:rPr>
            </w:pPr>
            <w:r>
              <w:rPr>
                <w:rFonts w:ascii="Arial" w:cs="Arial" w:eastAsia="Arial" w:hAnsi="Arial"/>
                <w:sz w:val="17"/>
                <w:szCs w:val="17"/>
                <w:color w:val="auto"/>
              </w:rPr>
              <w:t>Administrative and other operating expenses</w:t>
            </w:r>
            <w:r>
              <w:rPr>
                <w:rFonts w:ascii="Arial" w:cs="Arial" w:eastAsia="Arial" w:hAnsi="Arial"/>
                <w:sz w:val="25"/>
                <w:szCs w:val="25"/>
                <w:color w:val="auto"/>
                <w:vertAlign w:val="superscript"/>
              </w:rPr>
              <w:t>4</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w w:val="92"/>
              </w:rPr>
              <w:t>(15,032,140)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(14,704,261)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(27,454,847)</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from operations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(12,044,699)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4,629,930</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(550,661)</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2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(7,689,311)</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preference shares liabilities</w:t>
            </w:r>
          </w:p>
        </w:tc>
        <w:tc>
          <w:tcPr>
            <w:tcW w:w="112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(28,276,001)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Fair value gain on warrant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1,260,276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6,498,365</w:t>
            </w:r>
          </w:p>
        </w:tc>
        <w:tc>
          <w:tcPr>
            <w:tcW w:w="2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associates</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(112,751)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Other finance costs</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(79,189)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(116,029)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(2,491,796)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taxation</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(10,976,363)</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3,322,955</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(31,318,458)</w:t>
            </w:r>
          </w:p>
        </w:tc>
        <w:tc>
          <w:tcPr>
            <w:tcW w:w="120" w:type="dxa"/>
            <w:vAlign w:val="bottom"/>
            <w:shd w:val="clear" w:color="auto" w:fill="CCEEFF"/>
          </w:tcPr>
          <w:p>
            <w:pPr>
              <w:spacing w:after="0"/>
              <w:rPr>
                <w:sz w:val="18"/>
                <w:szCs w:val="18"/>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Income tax credit/(expense)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2,623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(1,715,012)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(1,667,438)</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for the period</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(10,973,740)</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1,607,943</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(32,985,896)</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Exchange difference on translation of:</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financial statements of subsidiaries outside Hong Kong</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(636,502)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2,759,672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(530,738)</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 comprehensive income for the period</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1"/>
              </w:rPr>
              <w:t>(11,610,242</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4,367,615</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(33,516,634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44" w:hanging="444"/>
        <w:spacing w:after="0"/>
        <w:tabs>
          <w:tab w:leader="none" w:pos="444"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equity-settled share-based payment expenses (excluding share-based payment on listing) as follows: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Arial" w:cs="Arial" w:eastAsia="Arial" w:hAnsi="Arial"/>
                <w:sz w:val="14"/>
                <w:szCs w:val="14"/>
                <w:b w:val="1"/>
                <w:bCs w:val="1"/>
                <w:i w:val="1"/>
                <w:i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4"/>
                <w:szCs w:val="14"/>
                <w:b w:val="1"/>
                <w:bCs w:val="1"/>
                <w:i w:val="1"/>
                <w:iCs w:val="1"/>
                <w:color w:val="auto"/>
              </w:rPr>
              <w:t>2022</w:t>
            </w:r>
          </w:p>
        </w:tc>
        <w:tc>
          <w:tcPr>
            <w:tcW w:w="60" w:type="dxa"/>
            <w:vAlign w:val="bottom"/>
          </w:tcPr>
          <w:p>
            <w:pPr>
              <w:spacing w:after="0"/>
              <w:rPr>
                <w:sz w:val="14"/>
                <w:szCs w:val="14"/>
                <w:color w:val="auto"/>
              </w:rPr>
            </w:pPr>
          </w:p>
        </w:tc>
        <w:tc>
          <w:tcPr>
            <w:tcW w:w="1160" w:type="dxa"/>
            <w:vAlign w:val="bottom"/>
            <w:gridSpan w:val="3"/>
          </w:tcPr>
          <w:p>
            <w:pPr>
              <w:jc w:val="right"/>
              <w:ind w:right="284"/>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8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0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45,255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63,033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486,507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747,059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1,249,618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other operating expenses</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2,574,249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2,392,105</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7,896,731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equity-settled share-based payment expenses (excluding share-based payment on listing)</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3,106,011</w:t>
            </w: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3,202,197</w:t>
            </w: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9,155,841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3"/>
                <w:szCs w:val="13"/>
                <w:color w:val="auto"/>
              </w:rPr>
              <w:t>5</w:t>
            </w:r>
          </w:p>
        </w:tc>
        <w:tc>
          <w:tcPr>
            <w:tcW w:w="7440" w:type="dxa"/>
            <w:vAlign w:val="bottom"/>
            <w:vMerge w:val="restart"/>
          </w:tcPr>
          <w:p>
            <w:pPr>
              <w:ind w:left="180"/>
              <w:spacing w:after="0"/>
              <w:rPr>
                <w:sz w:val="20"/>
                <w:szCs w:val="20"/>
                <w:color w:val="auto"/>
              </w:rPr>
            </w:pPr>
            <w:r>
              <w:rPr>
                <w:rFonts w:ascii="Arial" w:cs="Arial" w:eastAsia="Arial" w:hAnsi="Arial"/>
                <w:sz w:val="18"/>
                <w:szCs w:val="18"/>
                <w:color w:val="auto"/>
              </w:rPr>
              <w:t>Includes restructuring costs in relation to diagnostic business as follows:</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60" w:type="dxa"/>
            <w:vAlign w:val="bottom"/>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0"/>
          </w:tcPr>
          <w:p>
            <w:pPr>
              <w:jc w:val="center"/>
              <w:ind w:right="4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right"/>
              <w:ind w:right="380"/>
              <w:spacing w:after="0" w:line="153"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90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80" w:type="dxa"/>
            <w:vAlign w:val="bottom"/>
            <w:gridSpan w:val="2"/>
          </w:tcPr>
          <w:p>
            <w:pPr>
              <w:jc w:val="right"/>
              <w:ind w:right="205"/>
              <w:spacing w:after="0"/>
              <w:rPr>
                <w:sz w:val="20"/>
                <w:szCs w:val="20"/>
                <w:color w:val="auto"/>
              </w:rPr>
            </w:pPr>
            <w:r>
              <w:rPr>
                <w:rFonts w:ascii="Arial" w:cs="Arial" w:eastAsia="Arial" w:hAnsi="Arial"/>
                <w:sz w:val="14"/>
                <w:szCs w:val="14"/>
                <w:b w:val="1"/>
                <w:bCs w:val="1"/>
                <w:i w:val="1"/>
                <w:i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4"/>
                <w:szCs w:val="14"/>
                <w:b w:val="1"/>
                <w:bCs w:val="1"/>
                <w:i w:val="1"/>
                <w:iCs w:val="1"/>
                <w:color w:val="auto"/>
              </w:rPr>
              <w:t>2022</w:t>
            </w:r>
          </w:p>
        </w:tc>
        <w:tc>
          <w:tcPr>
            <w:tcW w:w="60" w:type="dxa"/>
            <w:vAlign w:val="bottom"/>
          </w:tcPr>
          <w:p>
            <w:pPr>
              <w:spacing w:after="0"/>
              <w:rPr>
                <w:sz w:val="14"/>
                <w:szCs w:val="14"/>
                <w:color w:val="auto"/>
              </w:rPr>
            </w:pPr>
          </w:p>
        </w:tc>
        <w:tc>
          <w:tcPr>
            <w:tcW w:w="1160" w:type="dxa"/>
            <w:vAlign w:val="bottom"/>
            <w:gridSpan w:val="3"/>
          </w:tcPr>
          <w:p>
            <w:pPr>
              <w:jc w:val="right"/>
              <w:ind w:right="224"/>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tcPr>
          <w:p>
            <w:pPr>
              <w:jc w:val="right"/>
              <w:ind w:right="32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880" w:type="dxa"/>
            <w:vAlign w:val="bottom"/>
            <w:tcBorders>
              <w:top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 on property, plant and equipment</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2,709,143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108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345565"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8257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3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For the three months ended</w:t>
            </w:r>
          </w:p>
        </w:tc>
      </w:tr>
      <w:tr>
        <w:trPr>
          <w:trHeight w:val="153"/>
        </w:trPr>
        <w:tc>
          <w:tcPr>
            <w:tcW w:w="7700" w:type="dxa"/>
            <w:vAlign w:val="bottom"/>
          </w:tcPr>
          <w:p>
            <w:pPr>
              <w:spacing w:after="0"/>
              <w:rPr>
                <w:sz w:val="13"/>
                <w:szCs w:val="13"/>
                <w:color w:val="auto"/>
              </w:rPr>
            </w:pPr>
          </w:p>
        </w:tc>
        <w:tc>
          <w:tcPr>
            <w:tcW w:w="1180" w:type="dxa"/>
            <w:vAlign w:val="bottom"/>
            <w:gridSpan w:val="2"/>
          </w:tcPr>
          <w:p>
            <w:pPr>
              <w:jc w:val="right"/>
              <w:ind w:right="301"/>
              <w:spacing w:after="0" w:line="153" w:lineRule="exact"/>
              <w:rPr>
                <w:sz w:val="20"/>
                <w:szCs w:val="20"/>
                <w:color w:val="auto"/>
              </w:rPr>
            </w:pPr>
            <w:r>
              <w:rPr>
                <w:rFonts w:ascii="Arial" w:cs="Arial" w:eastAsia="Arial" w:hAnsi="Arial"/>
                <w:sz w:val="14"/>
                <w:szCs w:val="14"/>
                <w:b w:val="1"/>
                <w:bCs w:val="1"/>
                <w:color w:val="auto"/>
              </w:rPr>
              <w:t>March 31,</w:t>
            </w:r>
          </w:p>
        </w:tc>
        <w:tc>
          <w:tcPr>
            <w:tcW w:w="110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2"/>
          </w:tcPr>
          <w:p>
            <w:pPr>
              <w:jc w:val="right"/>
              <w:ind w:right="181"/>
              <w:spacing w:after="0" w:line="153" w:lineRule="exact"/>
              <w:rPr>
                <w:sz w:val="20"/>
                <w:szCs w:val="20"/>
                <w:color w:val="auto"/>
              </w:rPr>
            </w:pPr>
            <w:r>
              <w:rPr>
                <w:rFonts w:ascii="Arial" w:cs="Arial" w:eastAsia="Arial" w:hAnsi="Arial"/>
                <w:sz w:val="14"/>
                <w:szCs w:val="14"/>
                <w:b w:val="1"/>
                <w:bCs w:val="1"/>
                <w:color w:val="auto"/>
              </w:rPr>
              <w:t>March 31,</w:t>
            </w:r>
          </w:p>
        </w:tc>
      </w:tr>
      <w:tr>
        <w:trPr>
          <w:trHeight w:val="167"/>
        </w:trPr>
        <w:tc>
          <w:tcPr>
            <w:tcW w:w="770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i w:val="1"/>
                <w:iCs w:val="1"/>
                <w:color w:val="auto"/>
              </w:rPr>
              <w:t>2022</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96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attributable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(10,398,430)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1,607,942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(32,985,850)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(575,310)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(10,973,740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1,607,943</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(32,985,896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(10,495,918)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4,367,614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(33,516,588)</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(1,114,324)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(11,610,242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4,367,615</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(33,516,634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(Loss)/earnings per share: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(0.07)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157,839,309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115,386,543</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9"/>
              </w:rPr>
              <w:t>31,207,949</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157,839,309</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162,708,402</w:t>
            </w: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31,207,949</w:t>
            </w:r>
          </w:p>
        </w:tc>
      </w:tr>
    </w:tbl>
    <w:p>
      <w:pPr>
        <w:sectPr>
          <w:pgSz w:w="11900" w:h="16838" w:orient="portrait"/>
          <w:cols w:equalWidth="0" w:num="1">
            <w:col w:w="11020"/>
          </w:cols>
          <w:pgMar w:left="440" w:top="1080"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345565"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82575"/>
                    </a:xfrm>
                    <a:prstGeom prst="rect">
                      <a:avLst/>
                    </a:prstGeom>
                    <a:noFill/>
                  </pic:spPr>
                </pic:pic>
              </a:graphicData>
            </a:graphic>
          </wp:anchor>
        </w:drawing>
        <w:t>PRENETICS GLOBAL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(loss)/profit from operations under IFRS and adjusted EBITDA (Non-IFRS)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15"/>
          </w:tcPr>
          <w:p>
            <w:pPr>
              <w:jc w:val="center"/>
              <w:ind w:right="12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right"/>
              <w:ind w:right="24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7"/>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159"/>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96"/>
              </w:rPr>
              <w:t>2022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(Loss)/profit from operations under IFRS</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4"/>
              </w:rPr>
              <w:t>(12,044,699)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4,629,930</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(550,661)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Employee equity-settled share-based payment expenses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3,124,189</w:t>
            </w:r>
          </w:p>
        </w:tc>
        <w:tc>
          <w:tcPr>
            <w:tcW w:w="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3,241,872</w:t>
            </w:r>
          </w:p>
        </w:tc>
        <w:tc>
          <w:tcPr>
            <w:tcW w:w="16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9,377,115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2,137,814</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1,333,231</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2,155,295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Restructuring costs in relation to diagnostic business</w:t>
            </w:r>
          </w:p>
        </w:tc>
        <w:tc>
          <w:tcPr>
            <w:tcW w:w="102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2,709,143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2,238,906</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957,150</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1,695,185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Finance income, exchange gain or loss, net</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(1,146,164)</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(751,171)</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31,772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(Non-IFRS)</w:t>
            </w:r>
          </w:p>
        </w:tc>
        <w:tc>
          <w:tcPr>
            <w:tcW w:w="94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(5,689,954)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12,120,155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12,708,706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Reconciliation of gross profit under IFRS and adjusted gross profit (Non-IFRS)</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5"/>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right"/>
              <w:ind w:right="340"/>
              <w:spacing w:after="0" w:line="153"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5"/>
          </w:tcPr>
          <w:p>
            <w:pPr>
              <w:jc w:val="right"/>
              <w:ind w:right="24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i w:val="1"/>
                <w:iCs w:val="1"/>
                <w:color w:val="auto"/>
                <w:w w:val="96"/>
              </w:rPr>
              <w:t>2022</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77"/>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 under IFRS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7,881,423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27,003,184</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36,037,833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384,326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527,722</w:t>
            </w:r>
          </w:p>
        </w:tc>
        <w:tc>
          <w:tcPr>
            <w:tcW w:w="1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417,619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(Non-IFRS)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8,265,749</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27,530,906</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36,455,452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20" w:type="dxa"/>
            <w:vAlign w:val="bottom"/>
            <w:gridSpan w:val="17"/>
          </w:tcPr>
          <w:p>
            <w:pPr>
              <w:spacing w:after="0"/>
              <w:rPr>
                <w:sz w:val="20"/>
                <w:szCs w:val="20"/>
                <w:color w:val="auto"/>
              </w:rPr>
            </w:pPr>
            <w:r>
              <w:rPr>
                <w:rFonts w:ascii="Arial" w:cs="Arial" w:eastAsia="Arial" w:hAnsi="Arial"/>
                <w:sz w:val="18"/>
                <w:szCs w:val="18"/>
                <w:b w:val="1"/>
                <w:bCs w:val="1"/>
                <w:i w:val="1"/>
                <w:iCs w:val="1"/>
                <w:color w:val="auto"/>
                <w:w w:val="94"/>
              </w:rPr>
              <w:t>Reconciliation of (loss)/profit attributable to equity shareholders of Prenetics under IFRS and adjusted (loss)/profit attributable to equity</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shareholders of Prenetics (Non-IFRS)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5"/>
          </w:tcPr>
          <w:p>
            <w:pPr>
              <w:jc w:val="center"/>
              <w:ind w:right="12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right"/>
              <w:ind w:right="26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0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7"/>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199"/>
              <w:spacing w:after="0"/>
              <w:rPr>
                <w:sz w:val="20"/>
                <w:szCs w:val="20"/>
                <w:color w:val="auto"/>
              </w:rPr>
            </w:pPr>
            <w:r>
              <w:rPr>
                <w:rFonts w:ascii="Arial" w:cs="Arial" w:eastAsia="Arial" w:hAnsi="Arial"/>
                <w:sz w:val="14"/>
                <w:szCs w:val="14"/>
                <w:b w:val="1"/>
                <w:bCs w:val="1"/>
                <w:i w:val="1"/>
                <w:iCs w:val="1"/>
                <w:color w:val="auto"/>
              </w:rPr>
              <w:t>2022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18"/>
              <w:spacing w:after="0"/>
              <w:rPr>
                <w:sz w:val="20"/>
                <w:szCs w:val="20"/>
                <w:color w:val="auto"/>
              </w:rPr>
            </w:pPr>
            <w:r>
              <w:rPr>
                <w:rFonts w:ascii="Arial" w:cs="Arial" w:eastAsia="Arial" w:hAnsi="Arial"/>
                <w:sz w:val="14"/>
                <w:szCs w:val="14"/>
                <w:b w:val="1"/>
                <w:bCs w:val="1"/>
                <w:i w:val="1"/>
                <w:iCs w:val="1"/>
                <w:color w:val="auto"/>
              </w:rPr>
              <w:t>2022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38"/>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(Loss)/profit attributable to equity shareholders of Prenetics under IFRS</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2"/>
              </w:rPr>
              <w:t>(10,398,430)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1,607,942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(32,985,850)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Employee equity-settled share-based payment expenses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3,124,189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3,241,872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9,377,115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2,238,906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957,150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1,695,185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Fair value loss on preference shares liabilities</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28,276,001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 on warrant liabilities</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(1,260,276)</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(6,498,365)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7,689,311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in relation to diagnostic business</w:t>
            </w: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2,709,143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Adjusted (loss)/profit attributable to equity shareholders of Prenetics (Non-IFRS)</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(6,295,611)</w:t>
            </w:r>
          </w:p>
        </w:tc>
        <w:tc>
          <w:tcPr>
            <w:tcW w:w="1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9,707,053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6,362,451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0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2023-06-05T06:22:56Z</dcterms:created>
  <dcterms:modified xsi:type="dcterms:W3CDTF">2023-06-05T06:22:56Z</dcterms:modified>
</cp:coreProperties>
</file>