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200"/>
        <w:spacing w:after="0"/>
        <w:rPr>
          <w:sz w:val="20"/>
          <w:szCs w:val="20"/>
          <w:color w:val="auto"/>
        </w:rPr>
      </w:pPr>
      <w:r>
        <w:rPr>
          <w:rFonts w:ascii="Arial" w:cs="Arial" w:eastAsia="Arial" w:hAnsi="Arial"/>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Unit 701-706, K11 Atelier King’s Road</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728 King’s Road, Quarry Bay</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20"/>
          </w:cols>
          <w:pgMar w:left="440" w:top="382" w:right="839"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 – Press release</w:t>
      </w:r>
    </w:p>
    <w:p>
      <w:pPr>
        <w:sectPr>
          <w:pgSz w:w="11900" w:h="16838" w:orient="portrait"/>
          <w:cols w:equalWidth="0" w:num="1">
            <w:col w:w="10019"/>
          </w:cols>
          <w:pgMar w:left="440" w:top="27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Prenetics Global Limited</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Lo</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Lo</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2023</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Prenetics Announces Third Quarter 2023 Financial Results</w:t>
      </w:r>
    </w:p>
    <w:p>
      <w:pPr>
        <w:spacing w:after="0" w:line="225" w:lineRule="exact"/>
        <w:rPr>
          <w:sz w:val="20"/>
          <w:szCs w:val="20"/>
          <w:color w:val="auto"/>
        </w:rPr>
      </w:pPr>
    </w:p>
    <w:p>
      <w:pPr>
        <w:ind w:left="4" w:right="160"/>
        <w:spacing w:after="0" w:line="347" w:lineRule="auto"/>
        <w:rPr>
          <w:sz w:val="20"/>
          <w:szCs w:val="20"/>
          <w:color w:val="auto"/>
        </w:rPr>
      </w:pPr>
      <w:r>
        <w:rPr>
          <w:rFonts w:ascii="Arial" w:cs="Arial" w:eastAsia="Arial" w:hAnsi="Arial"/>
          <w:sz w:val="16"/>
          <w:szCs w:val="16"/>
          <w:b w:val="1"/>
          <w:bCs w:val="1"/>
          <w:color w:val="auto"/>
        </w:rPr>
        <w:t xml:space="preserve">HONG KONG, November 20, 2023 </w:t>
      </w:r>
      <w:r>
        <w:rPr>
          <w:rFonts w:ascii="Arial" w:cs="Arial" w:eastAsia="Arial" w:hAnsi="Arial"/>
          <w:sz w:val="16"/>
          <w:szCs w:val="16"/>
          <w:color w:val="auto"/>
        </w:rPr>
        <w:t>– Prenetics Global Limited (NASDAQ: PRE) (“Prenetics” or the “Company”), a leading genomics-driven health</w:t>
      </w:r>
      <w:r>
        <w:rPr>
          <w:rFonts w:ascii="Arial" w:cs="Arial" w:eastAsia="Arial" w:hAnsi="Arial"/>
          <w:sz w:val="16"/>
          <w:szCs w:val="16"/>
          <w:b w:val="1"/>
          <w:bCs w:val="1"/>
          <w:color w:val="auto"/>
        </w:rPr>
        <w:t xml:space="preserve"> </w:t>
      </w:r>
      <w:r>
        <w:rPr>
          <w:rFonts w:ascii="Arial" w:cs="Arial" w:eastAsia="Arial" w:hAnsi="Arial"/>
          <w:sz w:val="16"/>
          <w:szCs w:val="16"/>
          <w:color w:val="auto"/>
        </w:rPr>
        <w:t>sciences company, today announced financial results for the third quarter ended September 30, 2023, along with recent business updates.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 Quarter 2023 Financial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continuing operations of US$4.9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from continuing operations of US$(6.4) million</w:t>
      </w:r>
    </w:p>
    <w:p>
      <w:pPr>
        <w:spacing w:after="0" w:line="130" w:lineRule="exact"/>
        <w:rPr>
          <w:rFonts w:ascii="Arial" w:cs="Arial" w:eastAsia="Arial" w:hAnsi="Arial"/>
          <w:sz w:val="18"/>
          <w:szCs w:val="18"/>
          <w:color w:val="auto"/>
        </w:rPr>
      </w:pPr>
    </w:p>
    <w:p>
      <w:pPr>
        <w:ind w:left="964" w:right="240" w:hanging="424"/>
        <w:spacing w:after="0" w:line="211"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and other short-term assets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US$105.2 million as of September 30, 2023; with an additional $79.1 million of cash with Insighta, our 50/50 joint venture in early cancer detection with Professor Dennis Lo</w:t>
      </w:r>
    </w:p>
    <w:p>
      <w:pPr>
        <w:spacing w:after="0" w:line="203"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 xml:space="preserve">“During the third quarter, we made further progress on our transformation. The recent completion of the reverse stock split also addressed any uncertainty regarding our listing status. We believe there are significant opportunities with our consumer health and clinical oncology business units, and are making investments to address these significant opportunities. With the strong cash position and a strong team, we are confident in our pathway to deliver growth and value.” said </w:t>
      </w:r>
      <w:r>
        <w:rPr>
          <w:rFonts w:ascii="Arial" w:cs="Arial" w:eastAsia="Arial" w:hAnsi="Arial"/>
          <w:sz w:val="17"/>
          <w:szCs w:val="17"/>
          <w:b w:val="1"/>
          <w:bCs w:val="1"/>
          <w:color w:val="auto"/>
        </w:rPr>
        <w:t>Danny Yeung, Chief Executive Officer and Co-Founder of Prenetics.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Highlights</w:t>
      </w:r>
    </w:p>
    <w:p>
      <w:pPr>
        <w:spacing w:after="0" w:line="135" w:lineRule="exact"/>
        <w:rPr>
          <w:sz w:val="20"/>
          <w:szCs w:val="20"/>
          <w:color w:val="auto"/>
        </w:rPr>
      </w:pPr>
    </w:p>
    <w:p>
      <w:pPr>
        <w:ind w:left="964" w:right="22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Completion of reverse stock split at a ratio of 1-for-15 on November 14, 2023, to bring the Company into compliance with the minimum US$1.00 per share requirement for continued listing on NASDAQ</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 Genomics launched ACTLiquid, a 500-gene comprehensive genomic profile “liquid” biopsy test</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reduction and restructuring progressed as planned, with business units CircleDNA and ACT Genomics expected to achieve EBITDA breakeven by the end of the year, which will be the first time in company history.</w:t>
      </w:r>
    </w:p>
    <w:p>
      <w:pPr>
        <w:spacing w:after="0" w:line="75" w:lineRule="exact"/>
        <w:rPr>
          <w:rFonts w:ascii="Arial" w:cs="Arial" w:eastAsia="Arial" w:hAnsi="Arial"/>
          <w:sz w:val="18"/>
          <w:szCs w:val="18"/>
          <w:color w:val="auto"/>
        </w:rPr>
      </w:pPr>
    </w:p>
    <w:p>
      <w:pPr>
        <w:ind w:left="964" w:right="200" w:hanging="424"/>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Insighta’s 500-participants clinical trial for early cancer detection is in progress, and is expected to have full results for publication in the first half of 2024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Prenetics</w:t>
      </w:r>
    </w:p>
    <w:p>
      <w:pPr>
        <w:spacing w:after="0" w:line="121"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 xml:space="preserve">Prenetics (NASDAQ:PRE), a leading genomics-driven health sciences company, is revolutionizing prevention, early detection, and treatment. Our prevention arm, CircleDNA, uses whole exome sequencing to offer the world’s most comprehensive consumer DNA test. Insighta, our US$200 million joint venture with renowned scientist Prof. Dennis Lo, underscores our unwavering commitment to saving lives through pioneering multi-cancer early detection technologies. Insighta plans to introduce Presight for lung and liver cancers in 2025, and to expand with Presight One for 10+ cancers in 2027. Lastly, ACT Genomics, our treatment unit, is the first Asia-based company to achieve FDA clearance for comprehensive genomic profiling of solid tumors via ACTOnco. Each of Prenetics’ units synergistically enhances our global impact on health, truly embodying our commitment to ‘enhancing life through science’. To learn more about Prenetics, please visit </w:t>
      </w:r>
      <w:r>
        <w:rPr>
          <w:rFonts w:ascii="Arial" w:cs="Arial" w:eastAsia="Arial" w:hAnsi="Arial"/>
          <w:sz w:val="17"/>
          <w:szCs w:val="17"/>
          <w:u w:val="single" w:color="auto"/>
          <w:color w:val="auto"/>
        </w:rPr>
        <w:t>www.prenetics.com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jc w:val="both"/>
        <w:ind w:left="424" w:right="400" w:hanging="424"/>
        <w:spacing w:after="0" w:line="219" w:lineRule="auto"/>
        <w:tabs>
          <w:tab w:leader="none" w:pos="4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Represents current assets, including cash and cash equivalents totaling US$71.3 million, financial assets at fair value through profit or loss of US$13.6 million, and trade receivables of US$4.5 million, amongst other accounting line items under current assets. Insighta is accounted for using equity method and is not consolidated in the results of Prenetics.</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investors@prenetics.com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supplement Prenetics’ consolidated financial statements prepared in accordance with International Financial Reporting Standards (“IFRS”), the Company is providing non-IFRS measures, adjusted EBITDA from continuing operations, adjusted gross profit from continuing operations and adjusted (loss)/profit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is excluding from some or all of its non-IFRS results (1) Employee equity-settled share-based payment expenses, (2) depreciation and amortization, (3) finance income and exchange gain or loss, net, and (4) certain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from continuing operations (Non-IFRS)”, “Reconciliation of gross profit from continuing operations under IFRS and adjusted gross profit from continuing operations (Non-IFRS)” and “Reconciliation of (loss)/profit attributable to equity shareholders of Prenetics under IFRS and adjusted (loss)/profit attributable to equity shareholders of Prenetics (Non-IFRS)” set forth at the end of this document.</w:t>
      </w:r>
    </w:p>
    <w:p>
      <w:pPr>
        <w:sectPr>
          <w:pgSz w:w="11900" w:h="16838" w:orient="portrait"/>
          <w:cols w:equalWidth="0" w:num="1">
            <w:col w:w="11000"/>
          </w:cols>
          <w:pgMar w:left="440" w:top="270"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September 30,</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r>
      <w:tr>
        <w:trPr>
          <w:trHeight w:val="210"/>
        </w:trPr>
        <w:tc>
          <w:tcPr>
            <w:tcW w:w="7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1"/>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8,546,350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10,031,570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13,102,546</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Intangible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13,674,683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14,101,566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14,785,875</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33,800,276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33,800,276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33,800,276</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Interests in equity-accounted investees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99,139,788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559,193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788,472</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10,002,442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27,715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7,631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243,449</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5,335,829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7,097,641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6,307,834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700,710</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741,816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1,292,462</w:t>
            </w:r>
          </w:p>
        </w:tc>
      </w:tr>
      <w:tr>
        <w:trPr>
          <w:trHeight w:val="27"/>
        </w:trPr>
        <w:tc>
          <w:tcPr>
            <w:tcW w:w="7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171,227,793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66,339,693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70,320,914</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Deferred expenses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8,283,981</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8,588,431</w:t>
            </w: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4,577,255</w:t>
            </w:r>
          </w:p>
        </w:tc>
        <w:tc>
          <w:tcPr>
            <w:tcW w:w="6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3,290,184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3,768,880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4,534,072</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Trade receivables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4,476,843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5,636,969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41,691,913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 prepayments and other receivables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4,145,935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5,594,273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6,889,114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Amount due from a related company</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7,662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an equity-accounted investee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137,161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138,781</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13,593,201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13,593,201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17,537,608</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16,000,000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19,920,160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55,251,807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177,179,297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146,660,195</w:t>
            </w:r>
          </w:p>
        </w:tc>
      </w:tr>
      <w:tr>
        <w:trPr>
          <w:trHeight w:val="27"/>
        </w:trPr>
        <w:tc>
          <w:tcPr>
            <w:tcW w:w="7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105,186,774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214,499,832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241,810,317</w:t>
            </w: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276,414,567</w:t>
            </w: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280,839,525</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312,131,231</w:t>
            </w:r>
          </w:p>
        </w:tc>
        <w:tc>
          <w:tcPr>
            <w:tcW w:w="6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2,614,699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2,694,720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3,185,440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895,400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1,822,139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3,574,885</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Lease liabilities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3,062,803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3,255,461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3,763,230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717,461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823,082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949,701</w:t>
            </w: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7,290,363</w:t>
            </w:r>
          </w:p>
        </w:tc>
        <w:tc>
          <w:tcPr>
            <w:tcW w:w="2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8,595,402</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11,473,256</w:t>
            </w:r>
          </w:p>
        </w:tc>
        <w:tc>
          <w:tcPr>
            <w:tcW w:w="6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3,513,463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4,226,392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7,291,133</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8,347,371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19,349,105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15,611,421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4,504,343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3,703,874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5,674,290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Lease liabilities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2,194,574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2,779,193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2,882,933</w:t>
            </w:r>
          </w:p>
        </w:tc>
      </w:tr>
      <w:tr>
        <w:trPr>
          <w:trHeight w:val="216"/>
        </w:trPr>
        <w:tc>
          <w:tcPr>
            <w:tcW w:w="74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Liabilities for puttable financial instrument</w:t>
            </w:r>
            <w:r>
              <w:rPr>
                <w:rFonts w:ascii="Arial" w:cs="Arial" w:eastAsia="Arial" w:hAnsi="Arial"/>
                <w:sz w:val="25"/>
                <w:szCs w:val="25"/>
                <w:color w:val="auto"/>
                <w:vertAlign w:val="superscript"/>
              </w:rPr>
              <w:t>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13,230,021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13,435,228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17,138,905</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Tax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8,550,228</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8,534,527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8,596,433</w:t>
            </w:r>
          </w:p>
        </w:tc>
      </w:tr>
      <w:tr>
        <w:trPr>
          <w:trHeight w:val="27"/>
        </w:trPr>
        <w:tc>
          <w:tcPr>
            <w:tcW w:w="7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40,340,000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52,028,319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57,195,115</w:t>
            </w: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47,630,363</w:t>
            </w:r>
          </w:p>
        </w:tc>
        <w:tc>
          <w:tcPr>
            <w:tcW w:w="2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60,623,721</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68,668,371</w:t>
            </w:r>
          </w:p>
        </w:tc>
        <w:tc>
          <w:tcPr>
            <w:tcW w:w="6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line="216" w:lineRule="exact"/>
              <w:rPr>
                <w:sz w:val="20"/>
                <w:szCs w:val="20"/>
                <w:color w:val="auto"/>
              </w:rPr>
            </w:pPr>
            <w:r>
              <w:rPr>
                <w:rFonts w:ascii="Arial" w:cs="Arial" w:eastAsia="Arial" w:hAnsi="Arial"/>
                <w:sz w:val="17"/>
                <w:szCs w:val="17"/>
                <w:color w:val="auto"/>
              </w:rPr>
              <w:t>Share capital</w:t>
            </w:r>
            <w:r>
              <w:rPr>
                <w:rFonts w:ascii="Arial" w:cs="Arial" w:eastAsia="Arial" w:hAnsi="Arial"/>
                <w:sz w:val="25"/>
                <w:szCs w:val="25"/>
                <w:color w:val="auto"/>
                <w:vertAlign w:val="superscript"/>
              </w:rPr>
              <w:t>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18,027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15,791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13,698</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224,417,177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215,291,050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237,050,429</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Total equity attributable to equity shareholders of the Company</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224,435,204</w:t>
            </w:r>
          </w:p>
        </w:tc>
        <w:tc>
          <w:tcPr>
            <w:tcW w:w="2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215,306,841</w:t>
            </w: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237,064,127</w:t>
            </w:r>
          </w:p>
        </w:tc>
        <w:tc>
          <w:tcPr>
            <w:tcW w:w="6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4,349,000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4,908,963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6,398,733</w:t>
            </w: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228,784,204</w:t>
            </w:r>
          </w:p>
        </w:tc>
        <w:tc>
          <w:tcPr>
            <w:tcW w:w="2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220,215,804</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243,462,860</w:t>
            </w:r>
          </w:p>
        </w:tc>
        <w:tc>
          <w:tcPr>
            <w:tcW w:w="6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276,414,567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280,839,525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312,131,231</w:t>
            </w:r>
          </w:p>
        </w:tc>
      </w:tr>
      <w:tr>
        <w:trPr>
          <w:trHeight w:val="20"/>
        </w:trPr>
        <w:tc>
          <w:tcPr>
            <w:tcW w:w="7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For the nine months ended</w:t>
            </w:r>
          </w:p>
        </w:tc>
      </w:tr>
      <w:tr>
        <w:trPr>
          <w:trHeight w:val="153"/>
        </w:trPr>
        <w:tc>
          <w:tcPr>
            <w:tcW w:w="6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40" w:type="dxa"/>
            <w:vAlign w:val="bottom"/>
            <w:gridSpan w:val="2"/>
          </w:tcPr>
          <w:p>
            <w:pPr>
              <w:jc w:val="right"/>
              <w:ind w:right="121"/>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3"/>
                <w:szCs w:val="13"/>
                <w:color w:val="auto"/>
              </w:rPr>
            </w:pPr>
          </w:p>
        </w:tc>
        <w:tc>
          <w:tcPr>
            <w:tcW w:w="1180" w:type="dxa"/>
            <w:vAlign w:val="bottom"/>
            <w:gridSpan w:val="2"/>
          </w:tcPr>
          <w:p>
            <w:pPr>
              <w:jc w:val="right"/>
              <w:ind w:right="121"/>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67"/>
        </w:trPr>
        <w:tc>
          <w:tcPr>
            <w:tcW w:w="6760" w:type="dxa"/>
            <w:vAlign w:val="bottom"/>
          </w:tcPr>
          <w:p>
            <w:pPr>
              <w:spacing w:after="0"/>
              <w:rPr>
                <w:sz w:val="14"/>
                <w:szCs w:val="14"/>
                <w:color w:val="auto"/>
              </w:rPr>
            </w:pPr>
          </w:p>
        </w:tc>
        <w:tc>
          <w:tcPr>
            <w:tcW w:w="2860" w:type="dxa"/>
            <w:vAlign w:val="bottom"/>
            <w:gridSpan w:val="2"/>
          </w:tcPr>
          <w:p>
            <w:pPr>
              <w:jc w:val="right"/>
              <w:ind w:right="272"/>
              <w:spacing w:after="0"/>
              <w:rPr>
                <w:sz w:val="20"/>
                <w:szCs w:val="20"/>
                <w:color w:val="auto"/>
              </w:rPr>
            </w:pPr>
            <w:r>
              <w:rPr>
                <w:rFonts w:ascii="Arial" w:cs="Arial" w:eastAsia="Arial" w:hAnsi="Arial"/>
                <w:sz w:val="14"/>
                <w:szCs w:val="14"/>
                <w:b w:val="1"/>
                <w:bCs w:val="1"/>
                <w:i w:val="1"/>
                <w:iCs w:val="1"/>
                <w:color w:val="auto"/>
              </w:rPr>
              <w:t>2023</w:t>
            </w:r>
          </w:p>
        </w:tc>
        <w:tc>
          <w:tcPr>
            <w:tcW w:w="140" w:type="dxa"/>
            <w:vAlign w:val="bottom"/>
          </w:tcPr>
          <w:p>
            <w:pPr>
              <w:spacing w:after="0"/>
              <w:rPr>
                <w:sz w:val="14"/>
                <w:szCs w:val="14"/>
                <w:color w:val="auto"/>
              </w:rPr>
            </w:pPr>
          </w:p>
        </w:tc>
        <w:tc>
          <w:tcPr>
            <w:tcW w:w="1140" w:type="dxa"/>
            <w:vAlign w:val="bottom"/>
            <w:gridSpan w:val="2"/>
          </w:tcPr>
          <w:p>
            <w:pPr>
              <w:jc w:val="right"/>
              <w:ind w:right="294"/>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(Restated)</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operations</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0" w:type="dxa"/>
            <w:vAlign w:val="bottom"/>
            <w:gridSpan w:val="3"/>
          </w:tcPr>
          <w:p>
            <w:pPr>
              <w:jc w:val="right"/>
              <w:ind w:right="61"/>
              <w:spacing w:after="0"/>
              <w:rPr>
                <w:sz w:val="20"/>
                <w:szCs w:val="20"/>
                <w:color w:val="auto"/>
              </w:rPr>
            </w:pPr>
            <w:r>
              <w:rPr>
                <w:rFonts w:ascii="Arial" w:cs="Arial" w:eastAsia="Arial" w:hAnsi="Arial"/>
                <w:sz w:val="18"/>
                <w:szCs w:val="18"/>
                <w:color w:val="auto"/>
              </w:rPr>
              <w:t>16,465,841</w:t>
            </w:r>
          </w:p>
        </w:tc>
        <w:tc>
          <w:tcPr>
            <w:tcW w:w="1260" w:type="dxa"/>
            <w:vAlign w:val="bottom"/>
            <w:gridSpan w:val="3"/>
          </w:tcPr>
          <w:p>
            <w:pPr>
              <w:jc w:val="right"/>
              <w:ind w:right="41"/>
              <w:spacing w:after="0"/>
              <w:rPr>
                <w:sz w:val="20"/>
                <w:szCs w:val="20"/>
                <w:color w:val="auto"/>
              </w:rPr>
            </w:pPr>
            <w:r>
              <w:rPr>
                <w:rFonts w:ascii="Arial" w:cs="Arial" w:eastAsia="Arial" w:hAnsi="Arial"/>
                <w:sz w:val="18"/>
                <w:szCs w:val="18"/>
                <w:color w:val="auto"/>
              </w:rPr>
              <w:t>12,586,661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(10,230,937)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(7,892,047)</w:t>
            </w: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8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6,234,904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4,694,614</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other net gain/(losses)</w:t>
            </w:r>
          </w:p>
        </w:tc>
        <w:tc>
          <w:tcPr>
            <w:tcW w:w="30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3,725,604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(744,886)</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7"/>
                <w:szCs w:val="17"/>
                <w:color w:val="auto"/>
              </w:rPr>
              <w:t>Selling and distribution expenses</w:t>
            </w:r>
            <w:r>
              <w:rPr>
                <w:rFonts w:ascii="Arial" w:cs="Arial" w:eastAsia="Arial" w:hAnsi="Arial"/>
                <w:sz w:val="25"/>
                <w:szCs w:val="25"/>
                <w:color w:val="auto"/>
                <w:vertAlign w:val="superscript"/>
              </w:rPr>
              <w:t>4</w:t>
            </w:r>
          </w:p>
        </w:tc>
        <w:tc>
          <w:tcPr>
            <w:tcW w:w="3000" w:type="dxa"/>
            <w:vAlign w:val="bottom"/>
            <w:gridSpan w:val="3"/>
          </w:tcPr>
          <w:p>
            <w:pPr>
              <w:jc w:val="right"/>
              <w:ind w:right="1"/>
              <w:spacing w:after="0"/>
              <w:rPr>
                <w:sz w:val="20"/>
                <w:szCs w:val="20"/>
                <w:color w:val="auto"/>
              </w:rPr>
            </w:pPr>
            <w:r>
              <w:rPr>
                <w:rFonts w:ascii="Arial" w:cs="Arial" w:eastAsia="Arial" w:hAnsi="Arial"/>
                <w:sz w:val="18"/>
                <w:szCs w:val="18"/>
                <w:color w:val="auto"/>
              </w:rPr>
              <w:t>(6,334,964)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(3,774,284)</w:t>
            </w:r>
          </w:p>
        </w:tc>
      </w:tr>
      <w:tr>
        <w:trPr>
          <w:trHeight w:val="216"/>
        </w:trPr>
        <w:tc>
          <w:tcPr>
            <w:tcW w:w="6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Research and development expenses</w:t>
            </w:r>
            <w:r>
              <w:rPr>
                <w:rFonts w:ascii="Arial" w:cs="Arial" w:eastAsia="Arial" w:hAnsi="Arial"/>
                <w:sz w:val="25"/>
                <w:szCs w:val="25"/>
                <w:color w:val="auto"/>
                <w:vertAlign w:val="superscript"/>
              </w:rPr>
              <w:t>4</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(10,158,212)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(4,738,151)</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7"/>
                <w:szCs w:val="17"/>
                <w:color w:val="auto"/>
              </w:rPr>
              <w:t>Restructuring costs</w:t>
            </w:r>
            <w:r>
              <w:rPr>
                <w:rFonts w:ascii="Arial" w:cs="Arial" w:eastAsia="Arial" w:hAnsi="Arial"/>
                <w:sz w:val="25"/>
                <w:szCs w:val="25"/>
                <w:color w:val="auto"/>
                <w:vertAlign w:val="superscript"/>
              </w:rPr>
              <w:t>5</w:t>
            </w:r>
          </w:p>
        </w:tc>
        <w:tc>
          <w:tcPr>
            <w:tcW w:w="18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(1,429,429)</w:t>
            </w:r>
          </w:p>
        </w:tc>
      </w:tr>
      <w:tr>
        <w:trPr>
          <w:trHeight w:val="216"/>
        </w:trPr>
        <w:tc>
          <w:tcPr>
            <w:tcW w:w="6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Administrative and other operating expenses</w:t>
            </w:r>
            <w:r>
              <w:rPr>
                <w:rFonts w:ascii="Arial" w:cs="Arial" w:eastAsia="Arial" w:hAnsi="Arial"/>
                <w:sz w:val="25"/>
                <w:szCs w:val="25"/>
                <w:color w:val="auto"/>
                <w:vertAlign w:val="superscript"/>
              </w:rPr>
              <w:t>4</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(33,910,726)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(51,848,708)</w:t>
            </w: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(40,443,394)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(57,840,844)</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(3,944,407)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(1,674,184)</w:t>
            </w:r>
          </w:p>
        </w:tc>
      </w:tr>
      <w:tr>
        <w:trPr>
          <w:trHeight w:val="216"/>
        </w:trPr>
        <w:tc>
          <w:tcPr>
            <w:tcW w:w="6760" w:type="dxa"/>
            <w:vAlign w:val="bottom"/>
          </w:tcPr>
          <w:p>
            <w:pPr>
              <w:spacing w:after="0" w:line="216" w:lineRule="exact"/>
              <w:rPr>
                <w:sz w:val="20"/>
                <w:szCs w:val="20"/>
                <w:color w:val="auto"/>
              </w:rPr>
            </w:pPr>
            <w:r>
              <w:rPr>
                <w:rFonts w:ascii="Arial" w:cs="Arial" w:eastAsia="Arial" w:hAnsi="Arial"/>
                <w:sz w:val="17"/>
                <w:szCs w:val="17"/>
                <w:color w:val="auto"/>
              </w:rPr>
              <w:t>Share-based payments on listing</w:t>
            </w:r>
            <w:r>
              <w:rPr>
                <w:rFonts w:ascii="Arial" w:cs="Arial" w:eastAsia="Arial" w:hAnsi="Arial"/>
                <w:sz w:val="25"/>
                <w:szCs w:val="25"/>
                <w:color w:val="auto"/>
                <w:vertAlign w:val="superscript"/>
              </w:rPr>
              <w:t>6</w:t>
            </w:r>
          </w:p>
        </w:tc>
        <w:tc>
          <w:tcPr>
            <w:tcW w:w="18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(89,546,601)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(60,091,353)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Fair value gain/(loss) on warrant liabilities</w:t>
            </w:r>
          </w:p>
        </w:tc>
        <w:tc>
          <w:tcPr>
            <w:tcW w:w="3000" w:type="dxa"/>
            <w:vAlign w:val="bottom"/>
            <w:gridSpan w:val="3"/>
          </w:tcPr>
          <w:p>
            <w:pPr>
              <w:jc w:val="right"/>
              <w:ind w:right="61"/>
              <w:spacing w:after="0"/>
              <w:rPr>
                <w:sz w:val="20"/>
                <w:szCs w:val="20"/>
                <w:color w:val="auto"/>
              </w:rPr>
            </w:pPr>
            <w:r>
              <w:rPr>
                <w:rFonts w:ascii="Arial" w:cs="Arial" w:eastAsia="Arial" w:hAnsi="Arial"/>
                <w:sz w:val="18"/>
                <w:szCs w:val="18"/>
                <w:color w:val="auto"/>
              </w:rPr>
              <w:t>2,679,485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(3,301,827)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equity-accounted investees</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(170,717)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finance costs</w:t>
            </w:r>
          </w:p>
        </w:tc>
        <w:tc>
          <w:tcPr>
            <w:tcW w:w="186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(151,272)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(3,993,550)</w:t>
            </w:r>
          </w:p>
        </w:tc>
      </w:tr>
      <w:tr>
        <w:trPr>
          <w:trHeight w:val="27"/>
        </w:trPr>
        <w:tc>
          <w:tcPr>
            <w:tcW w:w="6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taxation</w:t>
            </w:r>
          </w:p>
        </w:tc>
        <w:tc>
          <w:tcPr>
            <w:tcW w:w="1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(42,030,305)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(216,448,359)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tax credit</w:t>
            </w:r>
          </w:p>
        </w:tc>
        <w:tc>
          <w:tcPr>
            <w:tcW w:w="186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280,037</w:t>
            </w:r>
          </w:p>
        </w:tc>
        <w:tc>
          <w:tcPr>
            <w:tcW w:w="1260" w:type="dxa"/>
            <w:vAlign w:val="bottom"/>
            <w:gridSpan w:val="3"/>
          </w:tcPr>
          <w:p>
            <w:pPr>
              <w:jc w:val="right"/>
              <w:ind w:right="41"/>
              <w:spacing w:after="0"/>
              <w:rPr>
                <w:sz w:val="20"/>
                <w:szCs w:val="20"/>
                <w:color w:val="auto"/>
              </w:rPr>
            </w:pPr>
            <w:r>
              <w:rPr>
                <w:rFonts w:ascii="Arial" w:cs="Arial" w:eastAsia="Arial" w:hAnsi="Arial"/>
                <w:sz w:val="18"/>
                <w:szCs w:val="18"/>
                <w:color w:val="auto"/>
              </w:rPr>
              <w:t>3,355,516</w:t>
            </w:r>
          </w:p>
        </w:tc>
      </w:tr>
      <w:tr>
        <w:trPr>
          <w:trHeight w:val="27"/>
        </w:trPr>
        <w:tc>
          <w:tcPr>
            <w:tcW w:w="6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(41,750,268)</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(213,092,843)</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i w:val="1"/>
                <w:iCs w:val="1"/>
                <w:color w:val="auto"/>
              </w:rPr>
              <w:t>Discontinued operation</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(Loss)/profit from discontinued operation, net of tax</w:t>
            </w:r>
            <w:r>
              <w:rPr>
                <w:rFonts w:ascii="Arial" w:cs="Arial" w:eastAsia="Arial" w:hAnsi="Arial"/>
                <w:sz w:val="25"/>
                <w:szCs w:val="25"/>
                <w:color w:val="auto"/>
                <w:vertAlign w:val="superscript"/>
              </w:rPr>
              <w:t>7</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(5,511,375)</w:t>
            </w:r>
          </w:p>
        </w:tc>
        <w:tc>
          <w:tcPr>
            <w:tcW w:w="12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21,031,513</w:t>
            </w: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8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(47,261,643)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(192,061,330)</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difference on translation of foreign operations</w:t>
            </w:r>
          </w:p>
        </w:tc>
        <w:tc>
          <w:tcPr>
            <w:tcW w:w="30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677,474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(7,602,604)</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18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(46,584,169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(199,663,934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3000" w:type="dxa"/>
            <w:vAlign w:val="bottom"/>
            <w:gridSpan w:val="3"/>
          </w:tcPr>
          <w:p>
            <w:pPr>
              <w:jc w:val="right"/>
              <w:ind w:right="1"/>
              <w:spacing w:after="0"/>
              <w:rPr>
                <w:sz w:val="20"/>
                <w:szCs w:val="20"/>
                <w:color w:val="auto"/>
              </w:rPr>
            </w:pPr>
            <w:r>
              <w:rPr>
                <w:rFonts w:ascii="Arial" w:cs="Arial" w:eastAsia="Arial" w:hAnsi="Arial"/>
                <w:sz w:val="18"/>
                <w:szCs w:val="18"/>
                <w:color w:val="auto"/>
              </w:rPr>
              <w:t>(45,776,458)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(192,061,275)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(1,485,185)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(47,261,643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(192,061,330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3000" w:type="dxa"/>
            <w:vAlign w:val="bottom"/>
            <w:gridSpan w:val="3"/>
          </w:tcPr>
          <w:p>
            <w:pPr>
              <w:jc w:val="right"/>
              <w:ind w:right="1"/>
              <w:spacing w:after="0"/>
              <w:rPr>
                <w:sz w:val="20"/>
                <w:szCs w:val="20"/>
                <w:color w:val="auto"/>
              </w:rPr>
            </w:pPr>
            <w:r>
              <w:rPr>
                <w:rFonts w:ascii="Arial" w:cs="Arial" w:eastAsia="Arial" w:hAnsi="Arial"/>
                <w:sz w:val="18"/>
                <w:szCs w:val="18"/>
                <w:color w:val="auto"/>
              </w:rPr>
              <w:t>(44,534,436)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(199,663,879)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(2,049,733)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6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(46,584,169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(199,663,934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Basic</w:t>
            </w:r>
          </w:p>
        </w:tc>
        <w:tc>
          <w:tcPr>
            <w:tcW w:w="3000" w:type="dxa"/>
            <w:vAlign w:val="bottom"/>
            <w:gridSpan w:val="3"/>
          </w:tcPr>
          <w:p>
            <w:pPr>
              <w:jc w:val="right"/>
              <w:ind w:right="1"/>
              <w:spacing w:after="0"/>
              <w:rPr>
                <w:sz w:val="20"/>
                <w:szCs w:val="20"/>
                <w:color w:val="auto"/>
              </w:rPr>
            </w:pPr>
            <w:r>
              <w:rPr>
                <w:rFonts w:ascii="Arial" w:cs="Arial" w:eastAsia="Arial" w:hAnsi="Arial"/>
                <w:sz w:val="18"/>
                <w:szCs w:val="18"/>
                <w:color w:val="auto"/>
              </w:rPr>
              <w:t>(0.28)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(0.28)</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Loss per share - Continuing operations:</w:t>
            </w: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(0.24)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Diluted</w:t>
            </w:r>
          </w:p>
        </w:tc>
        <w:tc>
          <w:tcPr>
            <w:tcW w:w="3000" w:type="dxa"/>
            <w:vAlign w:val="bottom"/>
            <w:gridSpan w:val="3"/>
          </w:tcPr>
          <w:p>
            <w:pPr>
              <w:jc w:val="right"/>
              <w:ind w:right="1"/>
              <w:spacing w:after="0"/>
              <w:rPr>
                <w:sz w:val="20"/>
                <w:szCs w:val="20"/>
                <w:color w:val="auto"/>
              </w:rPr>
            </w:pPr>
            <w:r>
              <w:rPr>
                <w:rFonts w:ascii="Arial" w:cs="Arial" w:eastAsia="Arial" w:hAnsi="Arial"/>
                <w:sz w:val="18"/>
                <w:szCs w:val="18"/>
                <w:color w:val="auto"/>
              </w:rPr>
              <w:t>(0.24)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Basic</w:t>
            </w:r>
          </w:p>
        </w:tc>
        <w:tc>
          <w:tcPr>
            <w:tcW w:w="3000" w:type="dxa"/>
            <w:vAlign w:val="bottom"/>
            <w:gridSpan w:val="3"/>
          </w:tcPr>
          <w:p>
            <w:pPr>
              <w:jc w:val="right"/>
              <w:ind w:right="61"/>
              <w:spacing w:after="0"/>
              <w:rPr>
                <w:sz w:val="20"/>
                <w:szCs w:val="20"/>
                <w:color w:val="auto"/>
              </w:rPr>
            </w:pPr>
            <w:r>
              <w:rPr>
                <w:rFonts w:ascii="Arial" w:cs="Arial" w:eastAsia="Arial" w:hAnsi="Arial"/>
                <w:sz w:val="18"/>
                <w:szCs w:val="18"/>
                <w:color w:val="auto"/>
              </w:rPr>
              <w:t>164,465,165</w:t>
            </w:r>
          </w:p>
        </w:tc>
        <w:tc>
          <w:tcPr>
            <w:tcW w:w="1260" w:type="dxa"/>
            <w:vAlign w:val="bottom"/>
            <w:gridSpan w:val="3"/>
          </w:tcPr>
          <w:p>
            <w:pPr>
              <w:jc w:val="right"/>
              <w:ind w:right="41"/>
              <w:spacing w:after="0"/>
              <w:rPr>
                <w:sz w:val="20"/>
                <w:szCs w:val="20"/>
                <w:color w:val="auto"/>
              </w:rPr>
            </w:pPr>
            <w:r>
              <w:rPr>
                <w:rFonts w:ascii="Arial" w:cs="Arial" w:eastAsia="Arial" w:hAnsi="Arial"/>
                <w:sz w:val="18"/>
                <w:szCs w:val="18"/>
                <w:color w:val="auto"/>
              </w:rPr>
              <w:t>70,371,679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0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164,465,165</w:t>
            </w:r>
          </w:p>
        </w:tc>
        <w:tc>
          <w:tcPr>
            <w:tcW w:w="12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70,371,679</w:t>
            </w: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520" w:type="dxa"/>
            <w:vAlign w:val="bottom"/>
            <w:gridSpan w:val="6"/>
          </w:tcPr>
          <w:p>
            <w:pPr>
              <w:jc w:val="center"/>
              <w:ind w:right="21"/>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53"/>
        </w:trPr>
        <w:tc>
          <w:tcPr>
            <w:tcW w:w="7500" w:type="dxa"/>
            <w:vAlign w:val="bottom"/>
          </w:tcPr>
          <w:p>
            <w:pPr>
              <w:spacing w:after="0"/>
              <w:rPr>
                <w:sz w:val="13"/>
                <w:szCs w:val="13"/>
                <w:color w:val="auto"/>
              </w:rPr>
            </w:pPr>
          </w:p>
        </w:tc>
        <w:tc>
          <w:tcPr>
            <w:tcW w:w="1220" w:type="dxa"/>
            <w:vAlign w:val="bottom"/>
            <w:gridSpan w:val="2"/>
          </w:tcPr>
          <w:p>
            <w:pPr>
              <w:jc w:val="right"/>
              <w:ind w:right="201"/>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1220" w:type="dxa"/>
            <w:vAlign w:val="bottom"/>
            <w:gridSpan w:val="2"/>
          </w:tcPr>
          <w:p>
            <w:pPr>
              <w:jc w:val="center"/>
              <w:ind w:right="141"/>
              <w:spacing w:after="0" w:line="153" w:lineRule="exact"/>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2"/>
          </w:tcPr>
          <w:p>
            <w:pPr>
              <w:jc w:val="right"/>
              <w:ind w:right="81"/>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67"/>
        </w:trPr>
        <w:tc>
          <w:tcPr>
            <w:tcW w:w="7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Borders>
              <w:bottom w:val="single" w:sz="8" w:color="CCEEFF"/>
            </w:tcBorders>
          </w:tcPr>
          <w:p>
            <w:pPr>
              <w:spacing w:after="0"/>
              <w:rPr>
                <w:sz w:val="14"/>
                <w:szCs w:val="14"/>
                <w:color w:val="auto"/>
              </w:rPr>
            </w:pPr>
          </w:p>
        </w:tc>
      </w:tr>
      <w:tr>
        <w:trPr>
          <w:trHeight w:val="210"/>
        </w:trPr>
        <w:tc>
          <w:tcPr>
            <w:tcW w:w="7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2"/>
              <w:spacing w:after="0"/>
              <w:rPr>
                <w:sz w:val="20"/>
                <w:szCs w:val="20"/>
                <w:color w:val="auto"/>
              </w:rPr>
            </w:pPr>
            <w:r>
              <w:rPr>
                <w:rFonts w:ascii="Arial" w:cs="Arial" w:eastAsia="Arial" w:hAnsi="Arial"/>
                <w:sz w:val="18"/>
                <w:szCs w:val="18"/>
                <w:b w:val="1"/>
                <w:bCs w:val="1"/>
                <w:color w:val="auto"/>
                <w:w w:val="79"/>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1"/>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(Restated)</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operations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4,865,522</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5,695,579</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4,295,343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(3,241,996)</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(3,559,119)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(2,367,460)</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1,623,526</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2,136,460</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1,927,883</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other net gain/(losses)</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1,096,199</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1,406,281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(159,424)</w:t>
            </w:r>
          </w:p>
        </w:tc>
      </w:tr>
      <w:tr>
        <w:trPr>
          <w:trHeight w:val="216"/>
        </w:trPr>
        <w:tc>
          <w:tcPr>
            <w:tcW w:w="7500" w:type="dxa"/>
            <w:vAlign w:val="bottom"/>
          </w:tcPr>
          <w:p>
            <w:pPr>
              <w:spacing w:after="0" w:line="216" w:lineRule="exact"/>
              <w:rPr>
                <w:sz w:val="20"/>
                <w:szCs w:val="20"/>
                <w:color w:val="auto"/>
              </w:rPr>
            </w:pPr>
            <w:r>
              <w:rPr>
                <w:rFonts w:ascii="Arial" w:cs="Arial" w:eastAsia="Arial" w:hAnsi="Arial"/>
                <w:sz w:val="17"/>
                <w:szCs w:val="17"/>
                <w:color w:val="auto"/>
              </w:rPr>
              <w:t>Selling and distribution expenses</w:t>
            </w:r>
            <w:r>
              <w:rPr>
                <w:rFonts w:ascii="Arial" w:cs="Arial" w:eastAsia="Arial" w:hAnsi="Arial"/>
                <w:sz w:val="25"/>
                <w:szCs w:val="25"/>
                <w:color w:val="auto"/>
                <w:vertAlign w:val="superscript"/>
              </w:rPr>
              <w:t>4</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(1,662,011)</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(2,171,640)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(1,319,305)</w:t>
            </w:r>
          </w:p>
        </w:tc>
      </w:tr>
      <w:tr>
        <w:trPr>
          <w:trHeight w:val="216"/>
        </w:trPr>
        <w:tc>
          <w:tcPr>
            <w:tcW w:w="7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Research and development expenses</w:t>
            </w:r>
            <w:r>
              <w:rPr>
                <w:rFonts w:ascii="Arial" w:cs="Arial" w:eastAsia="Arial" w:hAnsi="Arial"/>
                <w:sz w:val="25"/>
                <w:szCs w:val="25"/>
                <w:color w:val="auto"/>
                <w:vertAlign w:val="superscript"/>
              </w:rPr>
              <w:t>4</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(3,980,620)</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(2,703,038)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(796,688)</w:t>
            </w:r>
          </w:p>
        </w:tc>
      </w:tr>
      <w:tr>
        <w:trPr>
          <w:trHeight w:val="216"/>
        </w:trPr>
        <w:tc>
          <w:tcPr>
            <w:tcW w:w="7500" w:type="dxa"/>
            <w:vAlign w:val="bottom"/>
          </w:tcPr>
          <w:p>
            <w:pPr>
              <w:spacing w:after="0" w:line="216" w:lineRule="exact"/>
              <w:rPr>
                <w:sz w:val="20"/>
                <w:szCs w:val="20"/>
                <w:color w:val="auto"/>
              </w:rPr>
            </w:pPr>
            <w:r>
              <w:rPr>
                <w:rFonts w:ascii="Arial" w:cs="Arial" w:eastAsia="Arial" w:hAnsi="Arial"/>
                <w:sz w:val="17"/>
                <w:szCs w:val="17"/>
                <w:color w:val="auto"/>
              </w:rPr>
              <w:t>Restructuring costs</w:t>
            </w:r>
            <w:r>
              <w:rPr>
                <w:rFonts w:ascii="Arial" w:cs="Arial" w:eastAsia="Arial" w:hAnsi="Arial"/>
                <w:sz w:val="25"/>
                <w:szCs w:val="25"/>
                <w:color w:val="auto"/>
                <w:vertAlign w:val="superscript"/>
              </w:rPr>
              <w:t>5</w:t>
            </w: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(1,429,429)</w:t>
            </w:r>
          </w:p>
        </w:tc>
      </w:tr>
      <w:tr>
        <w:trPr>
          <w:trHeight w:val="216"/>
        </w:trPr>
        <w:tc>
          <w:tcPr>
            <w:tcW w:w="7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Administrative and other operating expenses</w:t>
            </w:r>
            <w:r>
              <w:rPr>
                <w:rFonts w:ascii="Arial" w:cs="Arial" w:eastAsia="Arial" w:hAnsi="Arial"/>
                <w:sz w:val="25"/>
                <w:szCs w:val="25"/>
                <w:color w:val="auto"/>
                <w:vertAlign w:val="superscript"/>
              </w:rPr>
              <w:t>4</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(10,752,382)</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(10,834,043)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(15,240,243)</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(13,675,288)</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(12,165,980)</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(17,017,206)</w:t>
            </w:r>
          </w:p>
        </w:tc>
        <w:tc>
          <w:tcPr>
            <w:tcW w:w="120" w:type="dxa"/>
            <w:vAlign w:val="bottom"/>
          </w:tcPr>
          <w:p>
            <w:pPr>
              <w:spacing w:after="0"/>
              <w:rPr>
                <w:sz w:val="19"/>
                <w:szCs w:val="19"/>
                <w:color w:val="auto"/>
              </w:rPr>
            </w:pPr>
          </w:p>
        </w:tc>
      </w:tr>
      <w:tr>
        <w:trPr>
          <w:trHeight w:val="202"/>
        </w:trPr>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loss on financial assets at fair value through</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profit or loss</w:t>
            </w:r>
          </w:p>
        </w:tc>
        <w:tc>
          <w:tcPr>
            <w:tcW w:w="12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(3,944,407)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Fair value gain/(loss) on warrant liabilities</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926,739</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492,470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(1,762,250)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 of gain/(loss) of equity-accounted investees</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54,567</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(112,533)</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Other finance costs</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(42,914)</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(51,464)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(110,548)</w:t>
            </w:r>
          </w:p>
        </w:tc>
      </w:tr>
      <w:tr>
        <w:trPr>
          <w:trHeight w:val="27"/>
        </w:trPr>
        <w:tc>
          <w:tcPr>
            <w:tcW w:w="7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taxation</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(12,736,896)</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(15,781,914)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(18,904,845)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Income tax credit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11,210</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245,877</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1,384,285</w:t>
            </w:r>
          </w:p>
        </w:tc>
      </w:tr>
      <w:tr>
        <w:trPr>
          <w:trHeight w:val="27"/>
        </w:trPr>
        <w:tc>
          <w:tcPr>
            <w:tcW w:w="7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(12,725,686)</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(15,536,037)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(17,520,560)</w:t>
            </w: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i w:val="1"/>
                <w:iCs w:val="1"/>
                <w:color w:val="auto"/>
              </w:rPr>
              <w:t>Discontinued operation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(Loss)/profit from discontinued operation, net of tax</w:t>
            </w:r>
            <w:r>
              <w:rPr>
                <w:rFonts w:ascii="Arial" w:cs="Arial" w:eastAsia="Arial" w:hAnsi="Arial"/>
                <w:sz w:val="25"/>
                <w:szCs w:val="25"/>
                <w:color w:val="auto"/>
                <w:vertAlign w:val="superscript"/>
              </w:rPr>
              <w:t>7</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(1,354,767)</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(6,671,413)</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2,622,321</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(14,080,453)</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(22,207,450)</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(14,898,239)</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Exchange difference on translation of foreign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(480,209)</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1,794,185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(2,826,668)</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(14,560,662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(20,413,265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(17,724,907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(13,570,455)</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(21,807,573)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(14,898,231)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(509,998)</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(399,877)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(14,080,453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(22,207,450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(14,898,239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(14,000,699)</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(20,037,819)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(17,724,899)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(559,963)</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(375,446)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(14,560,662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(20,413,265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(17,724,907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(0.08)</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(0.08)</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Loss per share - Continuing operations: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176,151,516</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158,963,468</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70,371,679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176,151,516</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158,963,468</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70,371,679</w:t>
            </w:r>
          </w:p>
        </w:tc>
      </w:tr>
    </w:tbl>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PRENETICS GLOBAL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loss from operations from continuing operations under IFRS and adjusted EBITDA from continuing operations (Non-IFRS)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28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For the nine months ended</w:t>
            </w:r>
          </w:p>
        </w:tc>
      </w:tr>
      <w:tr>
        <w:trPr>
          <w:trHeight w:val="148"/>
        </w:trPr>
        <w:tc>
          <w:tcPr>
            <w:tcW w:w="8740" w:type="dxa"/>
            <w:vAlign w:val="bottom"/>
          </w:tcPr>
          <w:p>
            <w:pPr>
              <w:spacing w:after="0"/>
              <w:rPr>
                <w:sz w:val="12"/>
                <w:szCs w:val="12"/>
                <w:color w:val="auto"/>
              </w:rPr>
            </w:pPr>
          </w:p>
        </w:tc>
        <w:tc>
          <w:tcPr>
            <w:tcW w:w="12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080" w:type="dxa"/>
            <w:vAlign w:val="bottom"/>
            <w:gridSpan w:val="2"/>
          </w:tcPr>
          <w:p>
            <w:pPr>
              <w:jc w:val="right"/>
              <w:ind w:right="81"/>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71"/>
        </w:trPr>
        <w:tc>
          <w:tcPr>
            <w:tcW w:w="87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09"/>
        </w:trPr>
        <w:tc>
          <w:tcPr>
            <w:tcW w:w="8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(Restated)</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from continuing operations under IFRS</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(40,443,394)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(57,840,844)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10,632,797</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22,597,827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5,820,321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1,488,992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6,064,443</w:t>
            </w:r>
          </w:p>
        </w:tc>
        <w:tc>
          <w:tcPr>
            <w:tcW w:w="2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11,447,263</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exchange gain or loss, net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(3,573,445)</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967,707</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 (Non-IFRS)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(21,499,278</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(21,339,055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gross profit from continuing operations under IFRS and adjusted gross profit from continuing operations (Non-IFRS)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nine months ended</w:t>
            </w:r>
          </w:p>
        </w:tc>
      </w:tr>
      <w:tr>
        <w:trPr>
          <w:trHeight w:val="148"/>
        </w:trPr>
        <w:tc>
          <w:tcPr>
            <w:tcW w:w="886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8860" w:type="dxa"/>
            <w:vAlign w:val="bottom"/>
          </w:tcPr>
          <w:p>
            <w:pPr>
              <w:spacing w:after="0"/>
              <w:rPr>
                <w:sz w:val="14"/>
                <w:szCs w:val="14"/>
                <w:color w:val="auto"/>
              </w:rPr>
            </w:pPr>
          </w:p>
        </w:tc>
        <w:tc>
          <w:tcPr>
            <w:tcW w:w="8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16"/>
        </w:trPr>
        <w:tc>
          <w:tcPr>
            <w:tcW w:w="8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(Restated)</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from continuing operations under IFRS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6,234,904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4,694,614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1,125,897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85,309</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from continuing operations (Non-IFRS)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7,360,801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4,779,923</w:t>
            </w:r>
          </w:p>
        </w:tc>
      </w:tr>
      <w:tr>
        <w:trPr>
          <w:trHeight w:val="20"/>
        </w:trPr>
        <w:tc>
          <w:tcPr>
            <w:tcW w:w="8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Reconciliation of loss attributable to equity shareholders of Prenetics under IFRS and adjusted (loss)/profit attributable to equity shareholders of Prenetics (Non-IFRS)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nine months ended</w:t>
            </w:r>
          </w:p>
        </w:tc>
      </w:tr>
      <w:tr>
        <w:trPr>
          <w:trHeight w:val="148"/>
        </w:trPr>
        <w:tc>
          <w:tcPr>
            <w:tcW w:w="7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7440" w:type="dxa"/>
            <w:vAlign w:val="bottom"/>
          </w:tcPr>
          <w:p>
            <w:pPr>
              <w:spacing w:after="0"/>
              <w:rPr>
                <w:sz w:val="14"/>
                <w:szCs w:val="14"/>
                <w:color w:val="auto"/>
              </w:rPr>
            </w:pPr>
          </w:p>
        </w:tc>
        <w:tc>
          <w:tcPr>
            <w:tcW w:w="218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2320" w:type="dxa"/>
            <w:vAlign w:val="bottom"/>
            <w:gridSpan w:val="4"/>
          </w:tcPr>
          <w:p>
            <w:pPr>
              <w:jc w:val="right"/>
              <w:ind w:right="80"/>
              <w:spacing w:after="0"/>
              <w:rPr>
                <w:sz w:val="20"/>
                <w:szCs w:val="20"/>
                <w:color w:val="auto"/>
              </w:rPr>
            </w:pPr>
            <w:r>
              <w:rPr>
                <w:rFonts w:ascii="Arial" w:cs="Arial" w:eastAsia="Arial" w:hAnsi="Arial"/>
                <w:sz w:val="18"/>
                <w:szCs w:val="18"/>
                <w:color w:val="auto"/>
              </w:rPr>
              <w:t>(45,776,458)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(192,061,275)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equity-settled share-based payment expenses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10,632,797</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28,338,511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11,978,883</w:t>
            </w:r>
          </w:p>
        </w:tc>
        <w:tc>
          <w:tcPr>
            <w:tcW w:w="1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10,941,228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on listing</w:t>
            </w:r>
          </w:p>
        </w:tc>
        <w:tc>
          <w:tcPr>
            <w:tcW w:w="1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89,546,601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Fair value loss on preference shares liabilities</w:t>
            </w:r>
          </w:p>
        </w:tc>
        <w:tc>
          <w:tcPr>
            <w:tcW w:w="12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60,091,353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(gain)/loss on warrant liabilities</w:t>
            </w:r>
          </w:p>
        </w:tc>
        <w:tc>
          <w:tcPr>
            <w:tcW w:w="2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(2,679,485)</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3,301,827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3,944,407</w:t>
            </w:r>
          </w:p>
        </w:tc>
        <w:tc>
          <w:tcPr>
            <w:tcW w:w="1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1,674,184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27,669,598</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Adjusted (loss)/profit attributable to equity shareholders of Prenetics (Non-IFRS)</w:t>
            </w:r>
          </w:p>
        </w:tc>
        <w:tc>
          <w:tcPr>
            <w:tcW w:w="12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(21,899,856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29,502,027</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Reconciliation of loss from operations from continuing operations under IFRS and adjusted EBITDA from continuing operations (Non-IFRS)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53"/>
        </w:trPr>
        <w:tc>
          <w:tcPr>
            <w:tcW w:w="768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67"/>
        </w:trPr>
        <w:tc>
          <w:tcPr>
            <w:tcW w:w="76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r>
      <w:tr>
        <w:trPr>
          <w:trHeight w:val="123"/>
        </w:trPr>
        <w:tc>
          <w:tcPr>
            <w:tcW w:w="768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r>
      <w:tr>
        <w:trPr>
          <w:trHeight w:val="167"/>
        </w:trPr>
        <w:tc>
          <w:tcPr>
            <w:tcW w:w="7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1"/>
              </w:rPr>
              <w:t>(Restated)</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from continuing operations under IFRS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(13,675,288)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(12,165,980)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(17,017,207)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4,394,952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3,296,861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4,637,222</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1,885,127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1,863,626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564,942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2,062,142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3,077,902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2,244,351</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exchange gain or loss, net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(1,103,499)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(1,323,782)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264,339</w:t>
            </w:r>
          </w:p>
        </w:tc>
      </w:tr>
      <w:tr>
        <w:trPr>
          <w:trHeight w:val="223"/>
        </w:trPr>
        <w:tc>
          <w:tcPr>
            <w:tcW w:w="768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 (Non-IFRS)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(6,436,566)</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(5,251,373)</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(9,306,353)</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10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5"/>
              </w:rPr>
              <w:t>Reconciliation of gross profit from continuing operations under IFRS and adjusted gross profit from continuing operations (Non-IFRS)</w:t>
            </w:r>
          </w:p>
        </w:tc>
      </w:tr>
      <w:tr>
        <w:trPr>
          <w:trHeight w:val="342"/>
        </w:trPr>
        <w:tc>
          <w:tcPr>
            <w:tcW w:w="7680" w:type="dxa"/>
            <w:vAlign w:val="bottom"/>
          </w:tcPr>
          <w:p>
            <w:pPr>
              <w:spacing w:after="0"/>
              <w:rPr>
                <w:sz w:val="24"/>
                <w:szCs w:val="24"/>
                <w:color w:val="auto"/>
              </w:rPr>
            </w:pPr>
          </w:p>
        </w:tc>
        <w:tc>
          <w:tcPr>
            <w:tcW w:w="3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53"/>
        </w:trPr>
        <w:tc>
          <w:tcPr>
            <w:tcW w:w="768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67"/>
        </w:trPr>
        <w:tc>
          <w:tcPr>
            <w:tcW w:w="76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2023</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6"/>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r>
      <w:tr>
        <w:trPr>
          <w:trHeight w:val="123"/>
        </w:trPr>
        <w:tc>
          <w:tcPr>
            <w:tcW w:w="768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r>
      <w:tr>
        <w:trPr>
          <w:trHeight w:val="167"/>
        </w:trPr>
        <w:tc>
          <w:tcPr>
            <w:tcW w:w="7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1"/>
              </w:rPr>
              <w:t>(Restated)</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from continuing operations under IFRS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1,623,526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2,136,460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1,927,883</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405,923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335,648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33,523</w:t>
            </w:r>
          </w:p>
        </w:tc>
      </w:tr>
      <w:tr>
        <w:trPr>
          <w:trHeight w:val="27"/>
        </w:trPr>
        <w:tc>
          <w:tcPr>
            <w:tcW w:w="7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from continuing operations (Non-IFRS)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2,029,449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2,472,108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1,961,406</w:t>
            </w:r>
          </w:p>
        </w:tc>
      </w:tr>
      <w:tr>
        <w:trPr>
          <w:trHeight w:val="20"/>
        </w:trPr>
        <w:tc>
          <w:tcPr>
            <w:tcW w:w="7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Reconciliation of loss attributable to equity shareholders of Prenetics under IFRS and adjusted (loss)/profit attributable to equity shareholders of Prenetics (Non-IFRS)</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3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r>
      <w:tr>
        <w:trPr>
          <w:trHeight w:val="152"/>
        </w:trPr>
        <w:tc>
          <w:tcPr>
            <w:tcW w:w="768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67"/>
        </w:trPr>
        <w:tc>
          <w:tcPr>
            <w:tcW w:w="768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i w:val="1"/>
                <w:iCs w:val="1"/>
                <w:color w:val="auto"/>
              </w:rPr>
              <w:t>2023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i w:val="1"/>
                <w:iCs w:val="1"/>
                <w:color w:val="auto"/>
              </w:rPr>
              <w:t>2022</w:t>
            </w:r>
          </w:p>
        </w:tc>
        <w:tc>
          <w:tcPr>
            <w:tcW w:w="12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92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(13,570,455)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(21,807,573)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(14,898,231)</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4,394,952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3,113,656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5,994,430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2,061,178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7,678,799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391,354</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Fair value (gain)/loss on warrant liabilities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(926,739)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(492,470)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1,762,250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3,944,407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14,841</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Restructuring costs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27,669,598</w:t>
            </w:r>
          </w:p>
        </w:tc>
      </w:tr>
      <w:tr>
        <w:trPr>
          <w:trHeight w:val="27"/>
        </w:trPr>
        <w:tc>
          <w:tcPr>
            <w:tcW w:w="7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(loss)/profit attributable to equity shareholders of Prenetics (Non-IFRS)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(8,041,064)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(7,563,181)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20,934,242</w:t>
            </w:r>
          </w:p>
        </w:tc>
      </w:tr>
      <w:tr>
        <w:trPr>
          <w:trHeight w:val="20"/>
        </w:trPr>
        <w:tc>
          <w:tcPr>
            <w:tcW w:w="7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00" w:hanging="424"/>
        <w:spacing w:after="0" w:line="226" w:lineRule="auto"/>
        <w:tabs>
          <w:tab w:leader="none" w:pos="42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Arial" w:cs="Arial" w:eastAsia="Arial" w:hAnsi="Arial"/>
          <w:sz w:val="18"/>
          <w:szCs w:val="18"/>
          <w:i w:val="1"/>
          <w:iCs w:val="1"/>
          <w:color w:val="auto"/>
        </w:rPr>
        <w:t>liabilities for puttable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w:t>
      </w:r>
      <w:r>
        <w:rPr>
          <w:rFonts w:ascii="Arial" w:cs="Arial" w:eastAsia="Arial" w:hAnsi="Arial"/>
          <w:sz w:val="18"/>
          <w:szCs w:val="18"/>
          <w:color w:val="auto"/>
        </w:rPr>
        <w:t>, and are valued at the present value of the exercise price of the put option.</w:t>
      </w:r>
    </w:p>
    <w:p>
      <w:pPr>
        <w:sectPr>
          <w:pgSz w:w="11900" w:h="16838" w:orient="portrait"/>
          <w:cols w:equalWidth="0" w:num="1">
            <w:col w:w="11024"/>
          </w:cols>
          <w:pgMar w:left="436" w:top="270" w:right="439" w:bottom="1440" w:gutter="0" w:footer="0" w:header="0"/>
        </w:sectPr>
      </w:pPr>
    </w:p>
    <w:bookmarkStart w:id="10" w:name="page11"/>
    <w:bookmarkEnd w:id="10"/>
    <w:p>
      <w:pPr>
        <w:ind w:left="424" w:hanging="424"/>
        <w:spacing w:after="0"/>
        <w:tabs>
          <w:tab w:leader="none" w:pos="42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number of authorized and issued shares as follows:</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7"/>
        </w:trPr>
        <w:tc>
          <w:tcPr>
            <w:tcW w:w="77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i w:val="1"/>
                <w:iCs w:val="1"/>
                <w:color w:val="auto"/>
              </w:rPr>
              <w:t>2023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i w:val="1"/>
                <w:iCs w:val="1"/>
                <w:color w:val="auto"/>
              </w:rPr>
              <w:t>2023</w:t>
            </w: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i w:val="1"/>
                <w:i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Number of authorized shares of $0.0001 each</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500,000,000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500,000,000</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Number of issued shares</w:t>
            </w: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180,271,908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157,905,434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136,983,110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24" w:hanging="424"/>
        <w:spacing w:after="0"/>
        <w:tabs>
          <w:tab w:leader="none" w:pos="424"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Includes equity-settled share-based payment expenses (excluding share-based payment on listing) from continuing operations as follows: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5"/>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i w:val="1"/>
                <w:iCs w:val="1"/>
                <w:color w:val="auto"/>
                <w:w w:val="89"/>
              </w:rPr>
              <w:t>2023</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(Restated)</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8"/>
                <w:szCs w:val="18"/>
                <w:color w:val="auto"/>
              </w:rPr>
              <w:t>100,561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79,653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2,891,754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1,658,775</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Administrative and other operating expenses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7,576,865</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20,657,876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equity-settled share-based payment expenses (excluding share-based payment on listing)</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10,569,180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22,396,304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w w:val="90"/>
              </w:rPr>
              <w:t>For the three months ended</w:t>
            </w: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top w:val="single" w:sz="8" w:color="auto"/>
            </w:tcBorders>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ind w:left="16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2023</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(Restated)</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(3,307)</w:t>
            </w:r>
          </w:p>
        </w:tc>
        <w:tc>
          <w:tcPr>
            <w:tcW w:w="1060" w:type="dxa"/>
            <w:vAlign w:val="bottom"/>
            <w:gridSpan w:val="5"/>
          </w:tcPr>
          <w:p>
            <w:pPr>
              <w:jc w:val="right"/>
              <w:ind w:right="160"/>
              <w:spacing w:after="0"/>
              <w:rPr>
                <w:sz w:val="20"/>
                <w:szCs w:val="20"/>
                <w:color w:val="auto"/>
              </w:rPr>
            </w:pPr>
            <w:r>
              <w:rPr>
                <w:rFonts w:ascii="Arial" w:cs="Arial" w:eastAsia="Arial" w:hAnsi="Arial"/>
                <w:sz w:val="18"/>
                <w:szCs w:val="18"/>
                <w:color w:val="auto"/>
              </w:rPr>
              <w:t>58,613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48,229</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1,530,858</w:t>
            </w: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874,389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412,928</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Administrative and other operating expenses</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2,845,319</w:t>
            </w: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2,340,502</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4,168,498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equity-settled share-based payment expenses (excluding share-based payment on listing)</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4,372,870</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3,273,504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4,629,655</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3"/>
                <w:szCs w:val="13"/>
                <w:color w:val="auto"/>
              </w:rPr>
              <w:t>5</w:t>
            </w:r>
          </w:p>
        </w:tc>
        <w:tc>
          <w:tcPr>
            <w:tcW w:w="7460" w:type="dxa"/>
            <w:vAlign w:val="bottom"/>
            <w:vMerge w:val="restart"/>
          </w:tcPr>
          <w:p>
            <w:pPr>
              <w:ind w:left="180"/>
              <w:spacing w:after="0"/>
              <w:rPr>
                <w:sz w:val="20"/>
                <w:szCs w:val="20"/>
                <w:color w:val="auto"/>
              </w:rPr>
            </w:pPr>
            <w:r>
              <w:rPr>
                <w:rFonts w:ascii="Arial" w:cs="Arial" w:eastAsia="Arial" w:hAnsi="Arial"/>
                <w:sz w:val="18"/>
                <w:szCs w:val="18"/>
                <w:color w:val="auto"/>
              </w:rPr>
              <w:t>Includes restructuring costs from continuing operations as follows:</w:t>
            </w: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7"/>
          </w:tcPr>
          <w:p>
            <w:pPr>
              <w:jc w:val="right"/>
              <w:ind w:right="4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00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i w:val="1"/>
                <w:iCs w:val="1"/>
                <w:color w:val="auto"/>
                <w:w w:val="89"/>
              </w:rPr>
              <w:t>2023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(Restated)</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725,895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703,534</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restructuring costs from continuing operations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11"/>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260" w:type="dxa"/>
            <w:vAlign w:val="bottom"/>
            <w:tcBorders>
              <w:top w:val="single" w:sz="8" w:color="auto"/>
            </w:tcBorders>
            <w:gridSpan w:val="5"/>
          </w:tcPr>
          <w:p>
            <w:pPr>
              <w:jc w:val="right"/>
              <w:ind w:right="380"/>
              <w:spacing w:after="0" w:line="123"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4"/>
          </w:tcPr>
          <w:p>
            <w:pPr>
              <w:jc w:val="right"/>
              <w:ind w:right="460"/>
              <w:spacing w:after="0" w:line="123"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4"/>
                <w:szCs w:val="14"/>
                <w:b w:val="1"/>
                <w:bCs w:val="1"/>
                <w:i w:val="1"/>
                <w:i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35"/>
              <w:spacing w:after="0"/>
              <w:rPr>
                <w:sz w:val="20"/>
                <w:szCs w:val="20"/>
                <w:color w:val="auto"/>
              </w:rPr>
            </w:pPr>
            <w:r>
              <w:rPr>
                <w:rFonts w:ascii="Arial" w:cs="Arial" w:eastAsia="Arial" w:hAnsi="Arial"/>
                <w:sz w:val="14"/>
                <w:szCs w:val="14"/>
                <w:b w:val="1"/>
                <w:bCs w:val="1"/>
                <w:i w:val="1"/>
                <w:iCs w:val="1"/>
                <w:color w:val="auto"/>
              </w:rPr>
              <w:t>2023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(Restated)</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725,895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703,534</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restructuring costs from continuing operations</w:t>
            </w: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ind w:left="197"/>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24" w:right="120" w:hanging="424"/>
        <w:spacing w:after="0" w:line="246" w:lineRule="auto"/>
        <w:tabs>
          <w:tab w:leader="none" w:pos="424"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The acquisition of the net assets of Artisan Acquisition Corp. (“Artisan”) on May 18, 2022 does not meet the definition of a business under IFRS and has therefore been accounted for as a share-based payment. The excess of fair value of Prenetics shares issued over the fair value of Artisan’s identifiable net assets acquired represents compensation for the service of a stock exchange listing for its shares and is expensed as incurred.</w:t>
      </w:r>
    </w:p>
    <w:p>
      <w:pPr>
        <w:spacing w:after="0" w:line="2" w:lineRule="exact"/>
        <w:rPr>
          <w:sz w:val="20"/>
          <w:szCs w:val="20"/>
          <w:color w:val="auto"/>
        </w:rPr>
      </w:pPr>
    </w:p>
    <w:p>
      <w:pPr>
        <w:ind w:left="424" w:right="20" w:hanging="424"/>
        <w:spacing w:after="0" w:line="227" w:lineRule="auto"/>
        <w:tabs>
          <w:tab w:leader="none" w:pos="424"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 xml:space="preserve">We ceased our COVID-19 testing business entirely in 2023 Q2. As a result, COVID-19 testing business is reported as a discontinued operation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In accordance with IFRS 5, the results of the discontinued operation have been presented separately from the continuing operations in the consolidated statements of profit or loss and other comprehensive income. The comparative information in the consolidated statements of profit or loss and other comprehensive income has also been re-presented to show the results of discontinued operation separately.</w:t>
      </w:r>
    </w:p>
    <w:sectPr>
      <w:pgSz w:w="11900" w:h="16838" w:orient="portrait"/>
      <w:cols w:equalWidth="0" w:num="1">
        <w:col w:w="11024"/>
      </w:cols>
      <w:pgMar w:left="436" w:top="1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2023-11-20T05:33:25Z</dcterms:created>
  <dcterms:modified xsi:type="dcterms:W3CDTF">2023-11-20T05:33:25Z</dcterms:modified>
</cp:coreProperties>
</file>