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44586.xml.htm"/>
      <w:bookmarkStart w:id="1" w:name="kswkform4_17909445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 Hoi Chun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1"/>
        <w:gridCol w:w="905"/>
        <w:gridCol w:w="774"/>
        <w:gridCol w:w="601"/>
        <w:gridCol w:w="353"/>
        <w:gridCol w:w="862"/>
        <w:gridCol w:w="467"/>
        <w:gridCol w:w="630"/>
        <w:gridCol w:w="1185"/>
        <w:gridCol w:w="1014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7,635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573,648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04/19/2032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53,451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of the 7,635 Restricted Stock Units ("RSUs"), granted under the Issuer's 2022 Share Incentive Plan, represents the contingent right to receive one Class A Ordinary Share. Hoi Chun Lo's vested RSUs are not automatically settled upon vesting. Settlement and delivery of Class A Ordinary Shares in respect of vested RSUs occurs at Hoi Chun Lo's election, in accordance with the Issuer's insider trading policy.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of the 53,451 RSUs, granted under the Issuer's 2022 Share Incentive Plan, represents the contingent right to receive one Class A Ordinary Share. The RSUs vest in accordance with the following schedule, subject to continued service: On the 19th day of each month until and including March 19, 2027: 7,635.75 (total of 45,814.5 Class A Ordinary Shares); April 19, 2027: 7,636 (7,636 Class A Ordinary Shares). Hoi Chun Lo's vested RSUs are not automatically settled upon vesting. Settlement and delivery of Class A Ordinary Shares in respect of vested RSUs occurs at Hoi Chun Lo's election, in accordance with the Issuer's insider trading policy.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963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773</Words>
  <Characters>4130</Characters>
  <CharactersWithSpaces>4822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